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DC" w:rsidRPr="00750985" w:rsidRDefault="00203BDC" w:rsidP="00203BDC">
      <w:pPr>
        <w:suppressAutoHyphens/>
        <w:autoSpaceDN w:val="0"/>
        <w:jc w:val="both"/>
        <w:textAlignment w:val="baseline"/>
        <w:rPr>
          <w:rFonts w:asciiTheme="minorBidi" w:eastAsia="Calibri" w:hAnsiTheme="minorBidi" w:cstheme="minorBidi"/>
          <w:b/>
          <w:bCs/>
        </w:rPr>
      </w:pPr>
      <w:r w:rsidRPr="00750985">
        <w:rPr>
          <w:rFonts w:asciiTheme="minorBidi" w:hAnsiTheme="minorBidi" w:cstheme="minorBidi"/>
          <w:b/>
          <w:bCs/>
        </w:rPr>
        <w:t>Plan mondial de l’UPU pour la sécurité routière</w:t>
      </w:r>
    </w:p>
    <w:p w:rsidR="00203BDC" w:rsidRPr="00B878D6" w:rsidRDefault="00203BDC" w:rsidP="00203BDC">
      <w:pPr>
        <w:suppressAutoHyphens/>
        <w:autoSpaceDN w:val="0"/>
        <w:jc w:val="both"/>
        <w:textAlignment w:val="baseline"/>
        <w:rPr>
          <w:rFonts w:asciiTheme="minorBidi" w:hAnsiTheme="minorBidi" w:cstheme="minorBidi"/>
        </w:rPr>
      </w:pPr>
    </w:p>
    <w:p w:rsidR="00203BDC" w:rsidRPr="00750985" w:rsidRDefault="00203BDC" w:rsidP="00203BDC">
      <w:pPr>
        <w:suppressAutoHyphens/>
        <w:autoSpaceDN w:val="0"/>
        <w:jc w:val="both"/>
        <w:textAlignment w:val="baseline"/>
        <w:rPr>
          <w:rFonts w:asciiTheme="minorBidi" w:eastAsia="Calibri" w:hAnsiTheme="minorBidi" w:cstheme="minorBidi"/>
          <w:b/>
          <w:bCs/>
        </w:rPr>
      </w:pPr>
      <w:r w:rsidRPr="00750985">
        <w:rPr>
          <w:rFonts w:asciiTheme="minorBidi" w:hAnsiTheme="minorBidi" w:cstheme="minorBidi"/>
          <w:b/>
          <w:bCs/>
        </w:rPr>
        <w:t>Deuxième Décennie d’action pour la sécurité routière 2021–2030</w:t>
      </w:r>
    </w:p>
    <w:p w:rsidR="00203BDC" w:rsidRPr="00750985" w:rsidRDefault="00203BDC" w:rsidP="00203BDC">
      <w:pPr>
        <w:suppressAutoHyphens/>
        <w:autoSpaceDN w:val="0"/>
        <w:jc w:val="both"/>
        <w:textAlignment w:val="baseline"/>
        <w:rPr>
          <w:rFonts w:asciiTheme="minorBidi" w:eastAsia="Calibri" w:hAnsiTheme="minorBidi" w:cstheme="minorBidi"/>
          <w:lang w:val="fr-CH" w:eastAsia="en-US"/>
        </w:rPr>
      </w:pPr>
    </w:p>
    <w:p w:rsidR="00203BDC" w:rsidRDefault="00203BDC" w:rsidP="00B878D6">
      <w:pPr>
        <w:suppressAutoHyphens/>
        <w:autoSpaceDN w:val="0"/>
        <w:jc w:val="both"/>
        <w:textAlignment w:val="baseline"/>
        <w:rPr>
          <w:rFonts w:asciiTheme="minorBidi" w:hAnsiTheme="minorBidi" w:cstheme="minorBidi"/>
        </w:rPr>
      </w:pPr>
      <w:r w:rsidRPr="00203BDC">
        <w:rPr>
          <w:rFonts w:asciiTheme="minorBidi" w:hAnsiTheme="minorBidi" w:cstheme="minorBidi"/>
        </w:rPr>
        <w:t>À travers le monde, les accidents de la route sont la cause d’environ 1,3 million de décès évitables et approxi</w:t>
      </w:r>
      <w:r w:rsidR="00B878D6">
        <w:rPr>
          <w:rFonts w:asciiTheme="minorBidi" w:hAnsiTheme="minorBidi" w:cstheme="minorBidi"/>
        </w:rPr>
        <w:softHyphen/>
      </w:r>
      <w:r w:rsidRPr="00203BDC">
        <w:rPr>
          <w:rFonts w:asciiTheme="minorBidi" w:hAnsiTheme="minorBidi" w:cstheme="minorBidi"/>
        </w:rPr>
        <w:t>mativement 50 millions de blessés par an, ce qui en fait la première cause de décès parmi les enfants et les jeunes personnes dans le monde.</w:t>
      </w:r>
    </w:p>
    <w:p w:rsidR="00203BDC" w:rsidRPr="00203BDC" w:rsidRDefault="00203BDC" w:rsidP="00203BDC">
      <w:pPr>
        <w:suppressAutoHyphens/>
        <w:autoSpaceDN w:val="0"/>
        <w:jc w:val="both"/>
        <w:textAlignment w:val="baseline"/>
        <w:rPr>
          <w:rFonts w:asciiTheme="minorBidi" w:eastAsia="Calibri" w:hAnsiTheme="minorBidi" w:cstheme="minorBidi"/>
        </w:rPr>
      </w:pPr>
    </w:p>
    <w:p w:rsidR="00203BDC" w:rsidRDefault="00203BDC" w:rsidP="00203BDC">
      <w:pPr>
        <w:suppressAutoHyphens/>
        <w:autoSpaceDN w:val="0"/>
        <w:jc w:val="both"/>
        <w:textAlignment w:val="baseline"/>
        <w:rPr>
          <w:rFonts w:asciiTheme="minorBidi" w:hAnsiTheme="minorBidi" w:cstheme="minorBidi"/>
        </w:rPr>
      </w:pPr>
      <w:r w:rsidRPr="00203BDC">
        <w:rPr>
          <w:rFonts w:asciiTheme="minorBidi" w:hAnsiTheme="minorBidi" w:cstheme="minorBidi"/>
        </w:rPr>
        <w:t>Dans les circonstances actuelles, il est attendu que le trafic routier entraîne plus de 13 millions de décès et environ 500 millions de blessés au cours de la décennie à venir et qu’il freine le développement durable, en particulier pour les pays pauvres et en développement.</w:t>
      </w:r>
    </w:p>
    <w:p w:rsidR="00203BDC" w:rsidRPr="00203BDC" w:rsidRDefault="00203BDC" w:rsidP="00203BDC">
      <w:pPr>
        <w:suppressAutoHyphens/>
        <w:autoSpaceDN w:val="0"/>
        <w:jc w:val="both"/>
        <w:textAlignment w:val="baseline"/>
        <w:rPr>
          <w:rFonts w:asciiTheme="minorBidi" w:eastAsia="Calibri" w:hAnsiTheme="minorBidi" w:cstheme="minorBidi"/>
        </w:rPr>
      </w:pPr>
    </w:p>
    <w:p w:rsidR="00203BDC" w:rsidRDefault="00203BDC" w:rsidP="00203BDC">
      <w:pPr>
        <w:suppressAutoHyphens/>
        <w:autoSpaceDN w:val="0"/>
        <w:jc w:val="both"/>
        <w:textAlignment w:val="baseline"/>
        <w:rPr>
          <w:rFonts w:asciiTheme="minorBidi" w:hAnsiTheme="minorBidi" w:cstheme="minorBidi"/>
        </w:rPr>
      </w:pPr>
      <w:r w:rsidRPr="00203BDC">
        <w:rPr>
          <w:rFonts w:asciiTheme="minorBidi" w:hAnsiTheme="minorBidi" w:cstheme="minorBidi"/>
        </w:rPr>
        <w:t xml:space="preserve">En dépit des travaux laborieux des Nations Unies et des autres organes de la sécurité routière, ces chiffres inacceptables sont restés inchangés, en termes relatifs et absolus, au cours des </w:t>
      </w:r>
      <w:r>
        <w:rPr>
          <w:rFonts w:asciiTheme="minorBidi" w:hAnsiTheme="minorBidi" w:cstheme="minorBidi"/>
        </w:rPr>
        <w:t>vingt</w:t>
      </w:r>
      <w:r w:rsidRPr="00203BDC">
        <w:rPr>
          <w:rFonts w:asciiTheme="minorBidi" w:hAnsiTheme="minorBidi" w:cstheme="minorBidi"/>
        </w:rPr>
        <w:t xml:space="preserve"> dernières années.</w:t>
      </w:r>
    </w:p>
    <w:p w:rsidR="00203BDC" w:rsidRPr="00203BDC" w:rsidRDefault="00203BDC" w:rsidP="00203BDC">
      <w:pPr>
        <w:suppressAutoHyphens/>
        <w:autoSpaceDN w:val="0"/>
        <w:jc w:val="both"/>
        <w:textAlignment w:val="baseline"/>
        <w:rPr>
          <w:rFonts w:asciiTheme="minorBidi" w:eastAsia="Calibri" w:hAnsiTheme="minorBidi" w:cstheme="minorBidi"/>
        </w:rPr>
      </w:pPr>
    </w:p>
    <w:p w:rsidR="00203BDC" w:rsidRDefault="00203BDC" w:rsidP="00203BDC">
      <w:pPr>
        <w:suppressAutoHyphens/>
        <w:autoSpaceDN w:val="0"/>
        <w:jc w:val="both"/>
        <w:textAlignment w:val="baseline"/>
        <w:rPr>
          <w:rFonts w:asciiTheme="minorBidi" w:hAnsiTheme="minorBidi" w:cstheme="minorBidi"/>
        </w:rPr>
      </w:pPr>
      <w:r w:rsidRPr="00203BDC">
        <w:rPr>
          <w:rFonts w:asciiTheme="minorBidi" w:hAnsiTheme="minorBidi" w:cstheme="minorBidi"/>
        </w:rPr>
        <w:t>Reconnaissant l’importance du problème et la nécessité d’agir, les gouvernements du monde ont déclaré à l’unanimité, par le biais de la résolution 74/299 de l’Assemblée générale des Nations Unies, une deuxième Décennie d’action pour la sécurité routière 2021–2030, avec l’objectif explicite de réduire les décès et les blessures causées par le trafic routier d’au moins 50% sur cette période (v. figure 1).</w:t>
      </w:r>
    </w:p>
    <w:p w:rsidR="00203BDC" w:rsidRPr="0019798C" w:rsidRDefault="00203BDC" w:rsidP="00203BDC">
      <w:pPr>
        <w:suppressAutoHyphens/>
        <w:autoSpaceDN w:val="0"/>
        <w:jc w:val="both"/>
        <w:textAlignment w:val="baseline"/>
        <w:rPr>
          <w:rFonts w:asciiTheme="minorBidi" w:hAnsiTheme="minorBidi" w:cstheme="minorBidi"/>
          <w:u w:val="single"/>
        </w:rPr>
      </w:pPr>
    </w:p>
    <w:p w:rsidR="00203BDC" w:rsidRPr="00203BDC" w:rsidRDefault="00203BDC" w:rsidP="00203BDC">
      <w:pPr>
        <w:suppressAutoHyphens/>
        <w:autoSpaceDN w:val="0"/>
        <w:jc w:val="both"/>
        <w:textAlignment w:val="baseline"/>
        <w:rPr>
          <w:rFonts w:asciiTheme="minorBidi" w:eastAsia="Calibri" w:hAnsiTheme="minorBidi" w:cstheme="minorBidi"/>
          <w:i/>
          <w:iCs/>
        </w:rPr>
      </w:pPr>
      <w:r w:rsidRPr="00203BDC">
        <w:rPr>
          <w:rFonts w:asciiTheme="minorBidi" w:hAnsiTheme="minorBidi" w:cstheme="minorBidi"/>
          <w:i/>
          <w:iCs/>
        </w:rPr>
        <w:t>Figure 1 – Infographie de la Décennie d’action pour la sécurité routière 2021–2030 des Nations Unies</w:t>
      </w:r>
    </w:p>
    <w:p w:rsidR="00203BDC" w:rsidRPr="00203BDC" w:rsidRDefault="00203BDC" w:rsidP="00203BDC">
      <w:pPr>
        <w:suppressAutoHyphens/>
        <w:autoSpaceDN w:val="0"/>
        <w:jc w:val="both"/>
        <w:textAlignment w:val="baseline"/>
        <w:rPr>
          <w:rFonts w:asciiTheme="minorBidi" w:eastAsia="Calibri" w:hAnsiTheme="minorBidi" w:cstheme="minorBidi"/>
          <w:lang w:eastAsia="en-US"/>
        </w:rPr>
      </w:pPr>
    </w:p>
    <w:p w:rsidR="00203BDC" w:rsidRPr="00750985" w:rsidRDefault="00203BDC" w:rsidP="00203BDC">
      <w:pPr>
        <w:suppressAutoHyphens/>
        <w:autoSpaceDN w:val="0"/>
        <w:jc w:val="both"/>
        <w:textAlignment w:val="baseline"/>
        <w:rPr>
          <w:rFonts w:asciiTheme="minorBidi" w:eastAsia="Calibri" w:hAnsiTheme="minorBidi" w:cstheme="minorBidi"/>
        </w:rPr>
      </w:pPr>
      <w:r w:rsidRPr="00750985">
        <w:rPr>
          <w:rFonts w:asciiTheme="minorBidi" w:eastAsia="Calibri" w:hAnsiTheme="minorBidi" w:cstheme="minorBidi"/>
          <w:noProof/>
          <w:lang w:val="fr-CH"/>
        </w:rPr>
        <w:drawing>
          <wp:inline distT="0" distB="0" distL="0" distR="0" wp14:anchorId="6B5E3499" wp14:editId="1814C8DF">
            <wp:extent cx="6134100" cy="4191000"/>
            <wp:effectExtent l="0" t="0" r="0" b="0"/>
            <wp:docPr id="1" name="Picture 5" descr="UN Global Plan for the Decade of Action for Road Safety 2021-2030 – CITA  International Motor Vehicle Inspection Committe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134104" cy="4191003"/>
                    </a:xfrm>
                    <a:prstGeom prst="rect">
                      <a:avLst/>
                    </a:prstGeom>
                    <a:noFill/>
                    <a:ln>
                      <a:noFill/>
                      <a:prstDash/>
                    </a:ln>
                  </pic:spPr>
                </pic:pic>
              </a:graphicData>
            </a:graphic>
          </wp:inline>
        </w:drawing>
      </w:r>
    </w:p>
    <w:p w:rsidR="00203BDC" w:rsidRPr="00204F41" w:rsidRDefault="00203BDC" w:rsidP="00203BDC">
      <w:pPr>
        <w:suppressAutoHyphens/>
        <w:autoSpaceDN w:val="0"/>
        <w:jc w:val="both"/>
        <w:textAlignment w:val="baseline"/>
        <w:rPr>
          <w:rFonts w:asciiTheme="minorBidi" w:eastAsia="Calibri" w:hAnsiTheme="minorBidi" w:cstheme="minorBidi"/>
          <w:lang w:val="fr-CH" w:eastAsia="en-US"/>
        </w:rPr>
      </w:pPr>
    </w:p>
    <w:p w:rsidR="00203BDC" w:rsidRPr="00750985" w:rsidRDefault="00FF62D6" w:rsidP="00B878D6">
      <w:pPr>
        <w:suppressAutoHyphens/>
        <w:autoSpaceDN w:val="0"/>
        <w:jc w:val="both"/>
        <w:textAlignment w:val="baseline"/>
        <w:rPr>
          <w:rFonts w:asciiTheme="minorBidi" w:eastAsia="Calibri" w:hAnsiTheme="minorBidi" w:cstheme="minorBidi"/>
        </w:rPr>
      </w:pPr>
      <w:r w:rsidRPr="00B878D6">
        <w:rPr>
          <w:rFonts w:asciiTheme="minorBidi" w:hAnsiTheme="minorBidi" w:cstheme="minorBidi"/>
          <w:spacing w:val="-2"/>
        </w:rPr>
        <w:t xml:space="preserve">Ce plan, </w:t>
      </w:r>
      <w:r w:rsidR="00203BDC" w:rsidRPr="00B878D6">
        <w:rPr>
          <w:rFonts w:asciiTheme="minorBidi" w:hAnsiTheme="minorBidi" w:cstheme="minorBidi"/>
          <w:spacing w:val="-2"/>
        </w:rPr>
        <w:t xml:space="preserve">destiné aux législateurs et </w:t>
      </w:r>
      <w:r w:rsidRPr="00B878D6">
        <w:rPr>
          <w:rFonts w:asciiTheme="minorBidi" w:hAnsiTheme="minorBidi" w:cstheme="minorBidi"/>
          <w:spacing w:val="-2"/>
        </w:rPr>
        <w:t>décrivant</w:t>
      </w:r>
      <w:r w:rsidR="00203BDC" w:rsidRPr="00B878D6">
        <w:rPr>
          <w:rFonts w:asciiTheme="minorBidi" w:hAnsiTheme="minorBidi" w:cstheme="minorBidi"/>
          <w:spacing w:val="-2"/>
        </w:rPr>
        <w:t xml:space="preserve"> dans les grandes lignes les actions nécessaires pour atteindre cet</w:t>
      </w:r>
      <w:r w:rsidR="00203BDC" w:rsidRPr="00750985">
        <w:rPr>
          <w:rFonts w:asciiTheme="minorBidi" w:hAnsiTheme="minorBidi" w:cstheme="minorBidi"/>
        </w:rPr>
        <w:t xml:space="preserve"> </w:t>
      </w:r>
      <w:r w:rsidR="00203BDC" w:rsidRPr="00B878D6">
        <w:rPr>
          <w:rFonts w:asciiTheme="minorBidi" w:hAnsiTheme="minorBidi" w:cstheme="minorBidi"/>
          <w:spacing w:val="-2"/>
        </w:rPr>
        <w:t>objectif, sert de modèle à l’élaboration de plans et d’objectifs nationaux, régionaux et locaux. L’Objectif de déve</w:t>
      </w:r>
      <w:r w:rsidR="00B878D6" w:rsidRPr="00B878D6">
        <w:rPr>
          <w:rFonts w:asciiTheme="minorBidi" w:hAnsiTheme="minorBidi" w:cstheme="minorBidi"/>
          <w:spacing w:val="-2"/>
        </w:rPr>
        <w:softHyphen/>
      </w:r>
      <w:r w:rsidR="00203BDC" w:rsidRPr="00750985">
        <w:rPr>
          <w:rFonts w:asciiTheme="minorBidi" w:hAnsiTheme="minorBidi" w:cstheme="minorBidi"/>
        </w:rPr>
        <w:t xml:space="preserve">loppement </w:t>
      </w:r>
      <w:r>
        <w:rPr>
          <w:rFonts w:asciiTheme="minorBidi" w:hAnsiTheme="minorBidi" w:cstheme="minorBidi"/>
        </w:rPr>
        <w:t xml:space="preserve">durable </w:t>
      </w:r>
      <w:r w:rsidR="00B878D6" w:rsidRPr="00750985">
        <w:rPr>
          <w:rFonts w:asciiTheme="minorBidi" w:hAnsiTheme="minorBidi" w:cstheme="minorBidi"/>
        </w:rPr>
        <w:t xml:space="preserve">3.6 </w:t>
      </w:r>
      <w:r w:rsidR="00203BDC" w:rsidRPr="00750985">
        <w:rPr>
          <w:rFonts w:asciiTheme="minorBidi" w:hAnsiTheme="minorBidi" w:cstheme="minorBidi"/>
        </w:rPr>
        <w:t>des Nations Unies vise une réduction des décès et de</w:t>
      </w:r>
      <w:r w:rsidR="00204F41">
        <w:rPr>
          <w:rFonts w:asciiTheme="minorBidi" w:hAnsiTheme="minorBidi" w:cstheme="minorBidi"/>
        </w:rPr>
        <w:t xml:space="preserve">s blessures de 50% d’ici </w:t>
      </w:r>
      <w:r>
        <w:rPr>
          <w:rFonts w:asciiTheme="minorBidi" w:hAnsiTheme="minorBidi" w:cstheme="minorBidi"/>
        </w:rPr>
        <w:t xml:space="preserve">à </w:t>
      </w:r>
      <w:r w:rsidR="00204F41">
        <w:rPr>
          <w:rFonts w:asciiTheme="minorBidi" w:hAnsiTheme="minorBidi" w:cstheme="minorBidi"/>
        </w:rPr>
        <w:t>2030.</w:t>
      </w:r>
      <w:r w:rsidR="00B878D6">
        <w:rPr>
          <w:rFonts w:asciiTheme="minorBidi" w:hAnsiTheme="minorBidi" w:cstheme="minorBidi"/>
        </w:rPr>
        <w:br/>
      </w:r>
    </w:p>
    <w:p w:rsidR="00203BDC" w:rsidRPr="00FF62D6" w:rsidRDefault="00203BDC" w:rsidP="00B878D6">
      <w:pPr>
        <w:pageBreakBefore/>
        <w:suppressAutoHyphens/>
        <w:autoSpaceDN w:val="0"/>
        <w:jc w:val="both"/>
        <w:textAlignment w:val="baseline"/>
        <w:rPr>
          <w:rFonts w:asciiTheme="minorBidi" w:eastAsia="Calibri" w:hAnsiTheme="minorBidi" w:cstheme="minorBidi"/>
        </w:rPr>
      </w:pPr>
      <w:r w:rsidRPr="00FF62D6">
        <w:rPr>
          <w:rFonts w:asciiTheme="minorBidi" w:hAnsiTheme="minorBidi" w:cstheme="minorBidi"/>
        </w:rPr>
        <w:lastRenderedPageBreak/>
        <w:t xml:space="preserve">Le Plan mondial de la Décennie d’action pour la sécurité routière 2021–2030 rejette le maintien des tendances </w:t>
      </w:r>
      <w:proofErr w:type="gramStart"/>
      <w:r w:rsidRPr="00FF62D6">
        <w:rPr>
          <w:rFonts w:asciiTheme="minorBidi" w:hAnsiTheme="minorBidi" w:cstheme="minorBidi"/>
        </w:rPr>
        <w:t>actuelles</w:t>
      </w:r>
      <w:proofErr w:type="gramEnd"/>
      <w:r w:rsidRPr="00FF62D6">
        <w:rPr>
          <w:rFonts w:asciiTheme="minorBidi" w:hAnsiTheme="minorBidi" w:cstheme="minorBidi"/>
        </w:rPr>
        <w:t xml:space="preserve"> et incite les parties concernées à ouvrir une voie nouvelle mettant en priorité et appliquant une approche visant à établir un système sûr qui place directement la sécurité routière comme un facteur essentiel de développement durable. Il propose également des actions visant à aider le monde à atteindre une réduction de 50% du nombre de décès et de blessures graves liées au trafic routier d’ici </w:t>
      </w:r>
      <w:r w:rsidR="00FF62D6">
        <w:rPr>
          <w:rFonts w:asciiTheme="minorBidi" w:hAnsiTheme="minorBidi" w:cstheme="minorBidi"/>
        </w:rPr>
        <w:t xml:space="preserve">à </w:t>
      </w:r>
      <w:r w:rsidRPr="00FF62D6">
        <w:rPr>
          <w:rFonts w:asciiTheme="minorBidi" w:hAnsiTheme="minorBidi" w:cstheme="minorBidi"/>
        </w:rPr>
        <w:t>2030.</w:t>
      </w:r>
    </w:p>
    <w:p w:rsidR="00203BDC" w:rsidRPr="00FF62D6" w:rsidRDefault="00203BDC" w:rsidP="00203BDC">
      <w:pPr>
        <w:suppressAutoHyphens/>
        <w:autoSpaceDN w:val="0"/>
        <w:jc w:val="both"/>
        <w:textAlignment w:val="baseline"/>
        <w:rPr>
          <w:rFonts w:asciiTheme="minorBidi" w:eastAsia="Calibri" w:hAnsiTheme="minorBidi" w:cstheme="minorBidi"/>
          <w:lang w:val="fr-CH" w:eastAsia="en-US"/>
        </w:rPr>
      </w:pPr>
    </w:p>
    <w:p w:rsidR="00203BDC" w:rsidRDefault="00203BDC" w:rsidP="00C07C74">
      <w:pPr>
        <w:suppressAutoHyphens/>
        <w:autoSpaceDN w:val="0"/>
        <w:jc w:val="both"/>
        <w:textAlignment w:val="baseline"/>
        <w:rPr>
          <w:rFonts w:asciiTheme="minorBidi" w:hAnsiTheme="minorBidi" w:cstheme="minorBidi"/>
        </w:rPr>
      </w:pPr>
      <w:r w:rsidRPr="00FF62D6">
        <w:rPr>
          <w:rFonts w:asciiTheme="minorBidi" w:hAnsiTheme="minorBidi" w:cstheme="minorBidi"/>
        </w:rPr>
        <w:t>Consciente de l’incidence sociale et économique des décès et des blessures liées à la circulation routière sur les Pays-membres, l’UPU relève également ce défi avec dévouement.</w:t>
      </w:r>
      <w:r w:rsidR="00FF62D6">
        <w:rPr>
          <w:rFonts w:asciiTheme="minorBidi" w:hAnsiTheme="minorBidi" w:cstheme="minorBidi"/>
        </w:rPr>
        <w:t xml:space="preserve"> </w:t>
      </w:r>
      <w:r w:rsidRPr="00FF62D6">
        <w:rPr>
          <w:rFonts w:asciiTheme="minorBidi" w:hAnsiTheme="minorBidi" w:cstheme="minorBidi"/>
        </w:rPr>
        <w:t xml:space="preserve">Bien que l’UPU ait des limitations quant </w:t>
      </w:r>
      <w:r w:rsidRPr="00C07C74">
        <w:rPr>
          <w:rFonts w:asciiTheme="minorBidi" w:hAnsiTheme="minorBidi" w:cstheme="minorBidi"/>
          <w:spacing w:val="-2"/>
        </w:rPr>
        <w:t xml:space="preserve">à ses actions vis-à-vis des opérateurs </w:t>
      </w:r>
      <w:r w:rsidR="00FF62D6" w:rsidRPr="00C07C74">
        <w:rPr>
          <w:rFonts w:asciiTheme="minorBidi" w:hAnsiTheme="minorBidi" w:cstheme="minorBidi"/>
          <w:spacing w:val="-2"/>
        </w:rPr>
        <w:t>désignés</w:t>
      </w:r>
      <w:r w:rsidRPr="00C07C74">
        <w:rPr>
          <w:rFonts w:asciiTheme="minorBidi" w:hAnsiTheme="minorBidi" w:cstheme="minorBidi"/>
          <w:spacing w:val="-2"/>
        </w:rPr>
        <w:t>, les effets atteignables par le biais des actions au sein du secteur</w:t>
      </w:r>
      <w:r w:rsidRPr="00FF62D6">
        <w:rPr>
          <w:rFonts w:asciiTheme="minorBidi" w:hAnsiTheme="minorBidi" w:cstheme="minorBidi"/>
        </w:rPr>
        <w:t xml:space="preserve"> postal seraient sans aucun doute significatifs.</w:t>
      </w:r>
      <w:r w:rsidR="00FF62D6">
        <w:rPr>
          <w:rFonts w:asciiTheme="minorBidi" w:hAnsiTheme="minorBidi" w:cstheme="minorBidi"/>
        </w:rPr>
        <w:t xml:space="preserve"> </w:t>
      </w:r>
      <w:r w:rsidRPr="00FF62D6">
        <w:rPr>
          <w:rFonts w:asciiTheme="minorBidi" w:hAnsiTheme="minorBidi" w:cstheme="minorBidi"/>
        </w:rPr>
        <w:t>Le transport routier étant le mode principal de déplacement du courrier d’installation en installation, et entre les installations et la distribution, des milliards de kilomètres sont parcourus chaque année à travers le monde.</w:t>
      </w:r>
      <w:r w:rsidR="00FF62D6">
        <w:rPr>
          <w:rFonts w:asciiTheme="minorBidi" w:hAnsiTheme="minorBidi" w:cstheme="minorBidi"/>
        </w:rPr>
        <w:t xml:space="preserve"> </w:t>
      </w:r>
      <w:r w:rsidRPr="00FF62D6">
        <w:rPr>
          <w:rFonts w:asciiTheme="minorBidi" w:hAnsiTheme="minorBidi" w:cstheme="minorBidi"/>
        </w:rPr>
        <w:t>Le risque d’accidents de la route augmentant de manière propor</w:t>
      </w:r>
      <w:r w:rsidR="00C07C74">
        <w:rPr>
          <w:rFonts w:asciiTheme="minorBidi" w:hAnsiTheme="minorBidi" w:cstheme="minorBidi"/>
        </w:rPr>
        <w:softHyphen/>
      </w:r>
      <w:r w:rsidRPr="00FF62D6">
        <w:rPr>
          <w:rFonts w:asciiTheme="minorBidi" w:hAnsiTheme="minorBidi" w:cstheme="minorBidi"/>
        </w:rPr>
        <w:t>tionnelle au nombre de kilomètre</w:t>
      </w:r>
      <w:r w:rsidR="00CA7F92">
        <w:rPr>
          <w:rFonts w:asciiTheme="minorBidi" w:hAnsiTheme="minorBidi" w:cstheme="minorBidi"/>
        </w:rPr>
        <w:t>s</w:t>
      </w:r>
      <w:r w:rsidRPr="00FF62D6">
        <w:rPr>
          <w:rFonts w:asciiTheme="minorBidi" w:hAnsiTheme="minorBidi" w:cstheme="minorBidi"/>
        </w:rPr>
        <w:t xml:space="preserve"> parcourus, assurer la sécurité routière au sein du réseau postal est un objectif noble et significatif. À cette fin, l’UPU vise à s’aligner avec cette initiative et à servir de ferment à l’a</w:t>
      </w:r>
      <w:r w:rsidR="00FF62D6">
        <w:rPr>
          <w:rFonts w:asciiTheme="minorBidi" w:hAnsiTheme="minorBidi" w:cstheme="minorBidi"/>
        </w:rPr>
        <w:t>ction de ses 192 Pays-membres.</w:t>
      </w:r>
    </w:p>
    <w:p w:rsidR="00FF62D6" w:rsidRPr="00FF62D6" w:rsidRDefault="00FF62D6" w:rsidP="00203BDC">
      <w:pPr>
        <w:suppressAutoHyphens/>
        <w:autoSpaceDN w:val="0"/>
        <w:jc w:val="both"/>
        <w:textAlignment w:val="baseline"/>
        <w:rPr>
          <w:rFonts w:asciiTheme="minorBidi" w:eastAsia="Calibri" w:hAnsiTheme="minorBidi" w:cstheme="minorBidi"/>
        </w:rPr>
      </w:pPr>
    </w:p>
    <w:p w:rsidR="00203BDC" w:rsidRPr="00FF62D6" w:rsidRDefault="00203BDC" w:rsidP="00CA7F92">
      <w:pPr>
        <w:suppressAutoHyphens/>
        <w:autoSpaceDN w:val="0"/>
        <w:jc w:val="both"/>
        <w:textAlignment w:val="baseline"/>
        <w:rPr>
          <w:rFonts w:asciiTheme="minorBidi" w:eastAsia="Calibri" w:hAnsiTheme="minorBidi" w:cstheme="minorBidi"/>
        </w:rPr>
      </w:pPr>
      <w:r w:rsidRPr="00FF62D6">
        <w:rPr>
          <w:rFonts w:asciiTheme="minorBidi" w:hAnsiTheme="minorBidi" w:cstheme="minorBidi"/>
        </w:rPr>
        <w:t xml:space="preserve">Ces travaux se basent sur une approche consistant à établir un système fiable qui est une ressource clé de la Décennie d’action pour la sécurité routière. Cette approche reconnaît que la circulation </w:t>
      </w:r>
      <w:r w:rsidR="00CA7F92">
        <w:rPr>
          <w:rFonts w:asciiTheme="minorBidi" w:hAnsiTheme="minorBidi" w:cstheme="minorBidi"/>
        </w:rPr>
        <w:t>constitue</w:t>
      </w:r>
      <w:r w:rsidRPr="00FF62D6">
        <w:rPr>
          <w:rFonts w:asciiTheme="minorBidi" w:hAnsiTheme="minorBidi" w:cstheme="minorBidi"/>
        </w:rPr>
        <w:t xml:space="preserve"> un système complexe et met la priorité sur la sécurité. Elle reconnaît également que les personnes, les véhicules et les infrastructures routières doivent interagir de manière à assurer un haut niveau de sécurité.</w:t>
      </w:r>
    </w:p>
    <w:p w:rsidR="00CA7F92" w:rsidRDefault="00CA7F92" w:rsidP="00203BDC">
      <w:pPr>
        <w:suppressAutoHyphens/>
        <w:autoSpaceDN w:val="0"/>
        <w:jc w:val="both"/>
        <w:textAlignment w:val="baseline"/>
        <w:rPr>
          <w:rFonts w:asciiTheme="minorBidi" w:hAnsiTheme="minorBidi" w:cstheme="minorBidi"/>
        </w:rPr>
      </w:pPr>
    </w:p>
    <w:p w:rsidR="00203BDC" w:rsidRPr="00FF62D6" w:rsidRDefault="00203BDC" w:rsidP="00203BDC">
      <w:pPr>
        <w:suppressAutoHyphens/>
        <w:autoSpaceDN w:val="0"/>
        <w:jc w:val="both"/>
        <w:textAlignment w:val="baseline"/>
        <w:rPr>
          <w:rFonts w:asciiTheme="minorBidi" w:eastAsia="Calibri" w:hAnsiTheme="minorBidi" w:cstheme="minorBidi"/>
        </w:rPr>
      </w:pPr>
      <w:r w:rsidRPr="00FF62D6">
        <w:rPr>
          <w:rFonts w:asciiTheme="minorBidi" w:hAnsiTheme="minorBidi" w:cstheme="minorBidi"/>
        </w:rPr>
        <w:t>Un système sûr:</w:t>
      </w:r>
    </w:p>
    <w:p w:rsidR="00203BDC" w:rsidRPr="00FF62D6" w:rsidRDefault="00203BDC" w:rsidP="00C07C74">
      <w:pPr>
        <w:pStyle w:val="Premierretrait"/>
        <w:tabs>
          <w:tab w:val="clear" w:pos="567"/>
        </w:tabs>
        <w:rPr>
          <w:rFonts w:eastAsia="Calibri"/>
        </w:rPr>
      </w:pPr>
      <w:proofErr w:type="gramStart"/>
      <w:r w:rsidRPr="00FF62D6">
        <w:t>anticipe</w:t>
      </w:r>
      <w:proofErr w:type="gramEnd"/>
      <w:r w:rsidRPr="00FF62D6">
        <w:t xml:space="preserve"> et prend en </w:t>
      </w:r>
      <w:r w:rsidR="00CA7F92">
        <w:t>considération</w:t>
      </w:r>
      <w:r w:rsidRPr="00FF62D6">
        <w:t xml:space="preserve"> les erreurs humaines;</w:t>
      </w:r>
    </w:p>
    <w:p w:rsidR="00203BDC" w:rsidRPr="00FF62D6" w:rsidRDefault="00203BDC" w:rsidP="00C07C74">
      <w:pPr>
        <w:pStyle w:val="Premierretrait"/>
        <w:tabs>
          <w:tab w:val="clear" w:pos="567"/>
        </w:tabs>
        <w:rPr>
          <w:rFonts w:eastAsia="Calibri"/>
        </w:rPr>
      </w:pPr>
      <w:proofErr w:type="gramStart"/>
      <w:r w:rsidRPr="00FF62D6">
        <w:t>intègre</w:t>
      </w:r>
      <w:proofErr w:type="gramEnd"/>
      <w:r w:rsidRPr="00FF62D6">
        <w:t xml:space="preserve"> des conceptions de véhicules et de routes limitant l’incidence des déclarations d’assurance à des niveaux acceptables afin de réduire les décès et les blessures graves;</w:t>
      </w:r>
    </w:p>
    <w:p w:rsidR="00203BDC" w:rsidRPr="00FF62D6" w:rsidRDefault="00203BDC" w:rsidP="00C07C74">
      <w:pPr>
        <w:pStyle w:val="Premierretrait"/>
        <w:tabs>
          <w:tab w:val="clear" w:pos="567"/>
        </w:tabs>
        <w:rPr>
          <w:rFonts w:eastAsia="Calibri"/>
        </w:rPr>
      </w:pPr>
      <w:proofErr w:type="gramStart"/>
      <w:r w:rsidRPr="00C07C74">
        <w:rPr>
          <w:spacing w:val="-2"/>
        </w:rPr>
        <w:t>encourage</w:t>
      </w:r>
      <w:proofErr w:type="gramEnd"/>
      <w:r w:rsidRPr="00C07C74">
        <w:rPr>
          <w:spacing w:val="-2"/>
        </w:rPr>
        <w:t xml:space="preserve"> les personnes derrière la conception et le maintien des routes, la construction de véhicules et</w:t>
      </w:r>
      <w:r w:rsidRPr="00FF62D6">
        <w:t xml:space="preserve"> la mise en œuvre de programmes de sécurité à partager la responsabilité de la sécurité avec les usagers de la route de manière que, quand un accident survient, des solutions </w:t>
      </w:r>
      <w:r w:rsidR="00CA7F92">
        <w:t>soient</w:t>
      </w:r>
      <w:r w:rsidRPr="00FF62D6">
        <w:t xml:space="preserve"> recherchées, plutôt que de blâmer les conducteurs ou d’autres usagers de la route;</w:t>
      </w:r>
    </w:p>
    <w:p w:rsidR="00203BDC" w:rsidRPr="00FF62D6" w:rsidRDefault="00203BDC" w:rsidP="00C07C74">
      <w:pPr>
        <w:pStyle w:val="Premierretrait"/>
        <w:tabs>
          <w:tab w:val="clear" w:pos="567"/>
        </w:tabs>
        <w:rPr>
          <w:rFonts w:eastAsia="Calibri"/>
        </w:rPr>
      </w:pPr>
      <w:proofErr w:type="gramStart"/>
      <w:r w:rsidRPr="00C07C74">
        <w:rPr>
          <w:spacing w:val="-2"/>
        </w:rPr>
        <w:t>vise</w:t>
      </w:r>
      <w:proofErr w:type="gramEnd"/>
      <w:r w:rsidRPr="00C07C74">
        <w:rPr>
          <w:spacing w:val="-2"/>
        </w:rPr>
        <w:t xml:space="preserve"> un engagement pour l’amélioration proactive et continue des routes et des véhicules de manière que</w:t>
      </w:r>
      <w:r w:rsidRPr="00FF62D6">
        <w:t xml:space="preserve"> l’ensemble du système soit sûr, et pas seulement les lieux ou les situations occasionnant des accidents;</w:t>
      </w:r>
    </w:p>
    <w:p w:rsidR="00203BDC" w:rsidRPr="00FF62D6" w:rsidRDefault="00CA7F92" w:rsidP="00C07C74">
      <w:pPr>
        <w:pStyle w:val="Premierretrait"/>
        <w:tabs>
          <w:tab w:val="clear" w:pos="567"/>
        </w:tabs>
        <w:rPr>
          <w:rFonts w:eastAsia="Calibri"/>
        </w:rPr>
      </w:pPr>
      <w:proofErr w:type="gramStart"/>
      <w:r>
        <w:t>adhère</w:t>
      </w:r>
      <w:proofErr w:type="gramEnd"/>
      <w:r w:rsidR="00203BDC" w:rsidRPr="00FF62D6">
        <w:t xml:space="preserve"> au principe de base selon lequel le système de transport ne devrait entraîner aucun décès ni blessure grave et que la sécurité ne doit pas être compromise en faveur d’autre</w:t>
      </w:r>
      <w:r>
        <w:t>s</w:t>
      </w:r>
      <w:r w:rsidR="00203BDC" w:rsidRPr="00FF62D6">
        <w:t xml:space="preserve"> facteurs tels que le coût ou la volonté de réduire les durées des trajets.</w:t>
      </w:r>
    </w:p>
    <w:p w:rsidR="00203BDC" w:rsidRDefault="00203BDC" w:rsidP="00203BDC">
      <w:pPr>
        <w:suppressAutoHyphens/>
        <w:autoSpaceDN w:val="0"/>
        <w:jc w:val="both"/>
        <w:textAlignment w:val="baseline"/>
        <w:rPr>
          <w:rFonts w:asciiTheme="minorBidi" w:eastAsia="Calibri" w:hAnsiTheme="minorBidi" w:cstheme="minorBidi"/>
          <w:lang w:val="fr-CH" w:eastAsia="en-US"/>
        </w:rPr>
      </w:pPr>
    </w:p>
    <w:p w:rsidR="00154EF0" w:rsidRPr="00FF62D6" w:rsidRDefault="00154EF0" w:rsidP="00203BDC">
      <w:pPr>
        <w:suppressAutoHyphens/>
        <w:autoSpaceDN w:val="0"/>
        <w:jc w:val="both"/>
        <w:textAlignment w:val="baseline"/>
        <w:rPr>
          <w:rFonts w:asciiTheme="minorBidi" w:eastAsia="Calibri" w:hAnsiTheme="minorBidi" w:cstheme="minorBidi"/>
          <w:lang w:val="fr-CH" w:eastAsia="en-US"/>
        </w:rPr>
      </w:pPr>
    </w:p>
    <w:p w:rsidR="00203BDC" w:rsidRPr="00750985" w:rsidRDefault="00203BDC" w:rsidP="00154EF0">
      <w:pPr>
        <w:suppressAutoHyphens/>
        <w:autoSpaceDN w:val="0"/>
        <w:jc w:val="both"/>
        <w:textAlignment w:val="baseline"/>
        <w:rPr>
          <w:rFonts w:asciiTheme="minorBidi" w:eastAsia="Calibri" w:hAnsiTheme="minorBidi" w:cstheme="minorBidi"/>
          <w:b/>
          <w:bCs/>
        </w:rPr>
      </w:pPr>
      <w:r w:rsidRPr="00750985">
        <w:rPr>
          <w:rFonts w:asciiTheme="minorBidi" w:hAnsiTheme="minorBidi" w:cstheme="minorBidi"/>
          <w:b/>
          <w:bCs/>
        </w:rPr>
        <w:t>Proposition méthodologique pour la mise en œuvre du Plan mondial parmi les membres de l’UPU</w:t>
      </w:r>
    </w:p>
    <w:p w:rsidR="00203BDC" w:rsidRPr="00750985" w:rsidRDefault="00203BDC" w:rsidP="00203BDC">
      <w:pPr>
        <w:suppressAutoHyphens/>
        <w:autoSpaceDN w:val="0"/>
        <w:jc w:val="both"/>
        <w:textAlignment w:val="baseline"/>
        <w:rPr>
          <w:rFonts w:asciiTheme="minorBidi" w:eastAsia="Calibri" w:hAnsiTheme="minorBidi" w:cstheme="minorBidi"/>
          <w:lang w:val="fr-CH" w:eastAsia="en-US"/>
        </w:rPr>
      </w:pPr>
    </w:p>
    <w:p w:rsidR="00203BDC" w:rsidRPr="00750985" w:rsidRDefault="00203BDC" w:rsidP="004905EE">
      <w:pPr>
        <w:suppressAutoHyphens/>
        <w:autoSpaceDN w:val="0"/>
        <w:jc w:val="both"/>
        <w:textAlignment w:val="baseline"/>
        <w:rPr>
          <w:rFonts w:asciiTheme="minorBidi" w:eastAsia="Calibri" w:hAnsiTheme="minorBidi" w:cstheme="minorBidi"/>
        </w:rPr>
      </w:pPr>
      <w:r w:rsidRPr="00750985">
        <w:rPr>
          <w:rFonts w:asciiTheme="minorBidi" w:hAnsiTheme="minorBidi" w:cstheme="minorBidi"/>
        </w:rPr>
        <w:t>Le secteur postal global exploite un imme</w:t>
      </w:r>
      <w:r w:rsidR="00154EF0">
        <w:rPr>
          <w:rFonts w:asciiTheme="minorBidi" w:hAnsiTheme="minorBidi" w:cstheme="minorBidi"/>
        </w:rPr>
        <w:t>nse parc de plus de 1,5 million de véhicule</w:t>
      </w:r>
      <w:r w:rsidR="004905EE">
        <w:rPr>
          <w:rFonts w:asciiTheme="minorBidi" w:hAnsiTheme="minorBidi" w:cstheme="minorBidi"/>
        </w:rPr>
        <w:t>s</w:t>
      </w:r>
      <w:r w:rsidRPr="00750985">
        <w:rPr>
          <w:rFonts w:asciiTheme="minorBidi" w:hAnsiTheme="minorBidi" w:cstheme="minorBidi"/>
        </w:rPr>
        <w:t xml:space="preserve"> qui sont intensément utilisés par des millions de conducteurs dans un très grand nombre de situations différentes.</w:t>
      </w:r>
    </w:p>
    <w:p w:rsidR="00154EF0" w:rsidRDefault="00154EF0" w:rsidP="00203BDC">
      <w:pPr>
        <w:suppressAutoHyphens/>
        <w:autoSpaceDN w:val="0"/>
        <w:jc w:val="both"/>
        <w:textAlignment w:val="baseline"/>
        <w:rPr>
          <w:rFonts w:asciiTheme="minorBidi" w:hAnsiTheme="minorBidi" w:cstheme="minorBidi"/>
        </w:rPr>
      </w:pPr>
    </w:p>
    <w:p w:rsidR="00203BDC" w:rsidRPr="00750985" w:rsidRDefault="00203BDC" w:rsidP="00154EF0">
      <w:pPr>
        <w:suppressAutoHyphens/>
        <w:autoSpaceDN w:val="0"/>
        <w:jc w:val="both"/>
        <w:textAlignment w:val="baseline"/>
        <w:rPr>
          <w:rFonts w:asciiTheme="minorBidi" w:eastAsia="Calibri" w:hAnsiTheme="minorBidi" w:cstheme="minorBidi"/>
        </w:rPr>
      </w:pPr>
      <w:r w:rsidRPr="00750985">
        <w:rPr>
          <w:rFonts w:asciiTheme="minorBidi" w:hAnsiTheme="minorBidi" w:cstheme="minorBidi"/>
        </w:rPr>
        <w:t xml:space="preserve">Comme cela est reconnu dans le Rapport de recherche sur la sécurité routière de l’UPU, certains opérateurs </w:t>
      </w:r>
      <w:r w:rsidR="00154EF0">
        <w:rPr>
          <w:rFonts w:asciiTheme="minorBidi" w:hAnsiTheme="minorBidi" w:cstheme="minorBidi"/>
        </w:rPr>
        <w:t>désignés</w:t>
      </w:r>
      <w:r w:rsidRPr="00750985">
        <w:rPr>
          <w:rFonts w:asciiTheme="minorBidi" w:hAnsiTheme="minorBidi" w:cstheme="minorBidi"/>
        </w:rPr>
        <w:t xml:space="preserve"> ont mis en œuvre des pratiques et des programmes de sécurité routière reconnus comme des exem</w:t>
      </w:r>
      <w:r w:rsidR="004905EE">
        <w:rPr>
          <w:rFonts w:asciiTheme="minorBidi" w:hAnsiTheme="minorBidi" w:cstheme="minorBidi"/>
        </w:rPr>
        <w:softHyphen/>
      </w:r>
      <w:r w:rsidRPr="00750985">
        <w:rPr>
          <w:rFonts w:asciiTheme="minorBidi" w:hAnsiTheme="minorBidi" w:cstheme="minorBidi"/>
        </w:rPr>
        <w:t>ples d’excellence.</w:t>
      </w:r>
    </w:p>
    <w:p w:rsidR="00154EF0" w:rsidRDefault="00154EF0" w:rsidP="00203BDC">
      <w:pPr>
        <w:suppressAutoHyphens/>
        <w:autoSpaceDN w:val="0"/>
        <w:jc w:val="both"/>
        <w:textAlignment w:val="baseline"/>
        <w:rPr>
          <w:rFonts w:asciiTheme="minorBidi" w:hAnsiTheme="minorBidi" w:cstheme="minorBidi"/>
        </w:rPr>
      </w:pPr>
    </w:p>
    <w:p w:rsidR="00203BDC" w:rsidRPr="00750985" w:rsidRDefault="00154EF0" w:rsidP="00203BDC">
      <w:pPr>
        <w:suppressAutoHyphens/>
        <w:autoSpaceDN w:val="0"/>
        <w:jc w:val="both"/>
        <w:textAlignment w:val="baseline"/>
        <w:rPr>
          <w:rFonts w:asciiTheme="minorBidi" w:eastAsia="Calibri" w:hAnsiTheme="minorBidi" w:cstheme="minorBidi"/>
        </w:rPr>
      </w:pPr>
      <w:r>
        <w:rPr>
          <w:rFonts w:asciiTheme="minorBidi" w:hAnsiTheme="minorBidi" w:cstheme="minorBidi"/>
        </w:rPr>
        <w:t>Par ailleurs</w:t>
      </w:r>
      <w:r w:rsidR="00203BDC" w:rsidRPr="00750985">
        <w:rPr>
          <w:rFonts w:asciiTheme="minorBidi" w:hAnsiTheme="minorBidi" w:cstheme="minorBidi"/>
        </w:rPr>
        <w:t>, certains Pays-membres de l’UPU, généralement parmi les pays pauvres ou en développement, se caractérisent par un nombre très élevé d’accidents de la route.</w:t>
      </w:r>
    </w:p>
    <w:p w:rsidR="00203BDC" w:rsidRDefault="00203BDC" w:rsidP="00203BDC">
      <w:pPr>
        <w:suppressAutoHyphens/>
        <w:autoSpaceDN w:val="0"/>
        <w:jc w:val="both"/>
        <w:textAlignment w:val="baseline"/>
        <w:rPr>
          <w:rFonts w:asciiTheme="minorBidi" w:eastAsia="Calibri" w:hAnsiTheme="minorBidi" w:cstheme="minorBidi"/>
          <w:lang w:val="fr-CH" w:eastAsia="en-US"/>
        </w:rPr>
      </w:pPr>
    </w:p>
    <w:p w:rsidR="00203BDC" w:rsidRPr="008F1849" w:rsidRDefault="00203BDC" w:rsidP="00203BDC">
      <w:pPr>
        <w:suppressAutoHyphens/>
        <w:autoSpaceDN w:val="0"/>
        <w:jc w:val="both"/>
        <w:textAlignment w:val="baseline"/>
        <w:rPr>
          <w:rFonts w:asciiTheme="minorBidi" w:eastAsia="Calibri" w:hAnsiTheme="minorBidi" w:cstheme="minorBidi"/>
        </w:rPr>
      </w:pPr>
      <w:r w:rsidRPr="008F1849">
        <w:rPr>
          <w:rFonts w:asciiTheme="minorBidi" w:hAnsiTheme="minorBidi" w:cstheme="minorBidi"/>
        </w:rPr>
        <w:t>La proposition de base est d’encourager:</w:t>
      </w:r>
    </w:p>
    <w:p w:rsidR="00203BDC" w:rsidRPr="00750985" w:rsidRDefault="00203BDC" w:rsidP="004905EE">
      <w:pPr>
        <w:pStyle w:val="Premierretrait"/>
        <w:tabs>
          <w:tab w:val="clear" w:pos="567"/>
        </w:tabs>
        <w:rPr>
          <w:rFonts w:eastAsia="Calibri"/>
        </w:rPr>
      </w:pPr>
      <w:proofErr w:type="gramStart"/>
      <w:r w:rsidRPr="00750985">
        <w:t>la</w:t>
      </w:r>
      <w:proofErr w:type="gramEnd"/>
      <w:r w:rsidRPr="00750985">
        <w:t xml:space="preserve"> diffusion de bonnes pratiques en matière de sécurité routière parmi les opérateurs </w:t>
      </w:r>
      <w:r w:rsidR="008F1849">
        <w:t>désignés</w:t>
      </w:r>
      <w:r w:rsidRPr="00750985">
        <w:t xml:space="preserve"> par le biais de séminaires en ligne et en personne aux niveaux mondial, régional et local;</w:t>
      </w:r>
    </w:p>
    <w:p w:rsidR="00203BDC" w:rsidRPr="00750985" w:rsidRDefault="00203BDC" w:rsidP="004905EE">
      <w:pPr>
        <w:pStyle w:val="Premierretrait"/>
        <w:tabs>
          <w:tab w:val="clear" w:pos="567"/>
        </w:tabs>
        <w:rPr>
          <w:rFonts w:eastAsia="Calibri"/>
        </w:rPr>
      </w:pPr>
      <w:proofErr w:type="gramStart"/>
      <w:r w:rsidRPr="00750985">
        <w:t>l’élaboration</w:t>
      </w:r>
      <w:proofErr w:type="gramEnd"/>
      <w:r w:rsidRPr="00750985">
        <w:t xml:space="preserve"> d’un guide contenant de bonnes pratiques en matière de sécurité routière portant sur tous les sujets relevant du développement et de la mise en œuvre des programmes de sécurité routière, y compris: </w:t>
      </w:r>
    </w:p>
    <w:p w:rsidR="00203BDC" w:rsidRPr="00750985" w:rsidRDefault="00203BDC" w:rsidP="004905EE">
      <w:pPr>
        <w:pStyle w:val="Deuximeretrait"/>
        <w:tabs>
          <w:tab w:val="clear" w:pos="1134"/>
        </w:tabs>
        <w:rPr>
          <w:rFonts w:eastAsia="Calibri"/>
        </w:rPr>
      </w:pPr>
      <w:proofErr w:type="gramStart"/>
      <w:r w:rsidRPr="00750985">
        <w:t>l’ampleur</w:t>
      </w:r>
      <w:proofErr w:type="gramEnd"/>
      <w:r w:rsidRPr="00750985">
        <w:t xml:space="preserve"> du défi;</w:t>
      </w:r>
    </w:p>
    <w:p w:rsidR="00203BDC" w:rsidRPr="00750985" w:rsidRDefault="00203BDC" w:rsidP="004905EE">
      <w:pPr>
        <w:pStyle w:val="Deuximeretrait"/>
        <w:tabs>
          <w:tab w:val="clear" w:pos="1134"/>
        </w:tabs>
        <w:rPr>
          <w:rFonts w:eastAsia="Calibri"/>
        </w:rPr>
      </w:pPr>
      <w:proofErr w:type="gramStart"/>
      <w:r w:rsidRPr="00750985">
        <w:t>les</w:t>
      </w:r>
      <w:proofErr w:type="gramEnd"/>
      <w:r w:rsidRPr="00750985">
        <w:t xml:space="preserve"> parties intéressées;</w:t>
      </w:r>
    </w:p>
    <w:p w:rsidR="00203BDC" w:rsidRPr="00750985" w:rsidRDefault="00203BDC" w:rsidP="004905EE">
      <w:pPr>
        <w:pStyle w:val="Deuximeretrait"/>
        <w:tabs>
          <w:tab w:val="clear" w:pos="1134"/>
        </w:tabs>
        <w:rPr>
          <w:rFonts w:eastAsia="Calibri"/>
        </w:rPr>
      </w:pPr>
      <w:proofErr w:type="gramStart"/>
      <w:r w:rsidRPr="00750985">
        <w:lastRenderedPageBreak/>
        <w:t>la</w:t>
      </w:r>
      <w:proofErr w:type="gramEnd"/>
      <w:r w:rsidRPr="00750985">
        <w:t xml:space="preserve"> politique en matière de flotte de véhicules et de responsabilité des usagers;</w:t>
      </w:r>
    </w:p>
    <w:p w:rsidR="00203BDC" w:rsidRPr="00750985" w:rsidRDefault="00203BDC" w:rsidP="004905EE">
      <w:pPr>
        <w:pStyle w:val="Deuximeretrait"/>
        <w:tabs>
          <w:tab w:val="clear" w:pos="1134"/>
        </w:tabs>
        <w:rPr>
          <w:rFonts w:eastAsia="Calibri"/>
        </w:rPr>
      </w:pPr>
      <w:proofErr w:type="gramStart"/>
      <w:r w:rsidRPr="00750985">
        <w:t>l’identification</w:t>
      </w:r>
      <w:proofErr w:type="gramEnd"/>
      <w:r w:rsidRPr="00750985">
        <w:t xml:space="preserve"> des risques;</w:t>
      </w:r>
    </w:p>
    <w:p w:rsidR="00203BDC" w:rsidRPr="00750985" w:rsidRDefault="00203BDC" w:rsidP="004905EE">
      <w:pPr>
        <w:pStyle w:val="Deuximeretrait"/>
        <w:tabs>
          <w:tab w:val="clear" w:pos="1134"/>
        </w:tabs>
        <w:rPr>
          <w:rFonts w:eastAsia="Calibri"/>
        </w:rPr>
      </w:pPr>
      <w:proofErr w:type="gramStart"/>
      <w:r w:rsidRPr="00750985">
        <w:t>la</w:t>
      </w:r>
      <w:proofErr w:type="gramEnd"/>
      <w:r w:rsidRPr="00750985">
        <w:t xml:space="preserve"> sélection des chauffeurs;</w:t>
      </w:r>
    </w:p>
    <w:p w:rsidR="00203BDC" w:rsidRPr="00750985" w:rsidRDefault="00203BDC" w:rsidP="004905EE">
      <w:pPr>
        <w:pStyle w:val="Deuximeretrait"/>
        <w:tabs>
          <w:tab w:val="clear" w:pos="1134"/>
        </w:tabs>
        <w:rPr>
          <w:rFonts w:eastAsia="Calibri"/>
        </w:rPr>
      </w:pPr>
      <w:proofErr w:type="gramStart"/>
      <w:r w:rsidRPr="00750985">
        <w:t>la</w:t>
      </w:r>
      <w:proofErr w:type="gramEnd"/>
      <w:r w:rsidRPr="00750985">
        <w:t xml:space="preserve"> formation des travailleurs à la sécurité routière;</w:t>
      </w:r>
    </w:p>
    <w:p w:rsidR="00203BDC" w:rsidRPr="00750985" w:rsidRDefault="00203BDC" w:rsidP="004905EE">
      <w:pPr>
        <w:pStyle w:val="Deuximeretrait"/>
        <w:tabs>
          <w:tab w:val="clear" w:pos="1134"/>
        </w:tabs>
        <w:rPr>
          <w:rFonts w:eastAsia="Calibri"/>
        </w:rPr>
      </w:pPr>
      <w:proofErr w:type="gramStart"/>
      <w:r w:rsidRPr="00750985">
        <w:t>la</w:t>
      </w:r>
      <w:proofErr w:type="gramEnd"/>
      <w:r w:rsidRPr="00750985">
        <w:t xml:space="preserve"> maintenance préventive et la réparation après accident;</w:t>
      </w:r>
    </w:p>
    <w:p w:rsidR="00203BDC" w:rsidRPr="00750985" w:rsidRDefault="008F1849" w:rsidP="004905EE">
      <w:pPr>
        <w:pStyle w:val="Deuximeretrait"/>
        <w:tabs>
          <w:tab w:val="clear" w:pos="1134"/>
        </w:tabs>
        <w:rPr>
          <w:rFonts w:eastAsia="Calibri"/>
        </w:rPr>
      </w:pPr>
      <w:proofErr w:type="gramStart"/>
      <w:r>
        <w:t>la</w:t>
      </w:r>
      <w:proofErr w:type="gramEnd"/>
      <w:r>
        <w:t xml:space="preserve"> vérification/</w:t>
      </w:r>
      <w:r w:rsidR="00203BDC" w:rsidRPr="00750985">
        <w:t>le contrôle de la maintenance et de l’état des véhicules;</w:t>
      </w:r>
    </w:p>
    <w:p w:rsidR="00203BDC" w:rsidRPr="00750985" w:rsidRDefault="00203BDC" w:rsidP="004905EE">
      <w:pPr>
        <w:pStyle w:val="Deuximeretrait"/>
        <w:tabs>
          <w:tab w:val="clear" w:pos="1134"/>
        </w:tabs>
        <w:rPr>
          <w:rFonts w:eastAsia="Calibri"/>
        </w:rPr>
      </w:pPr>
      <w:proofErr w:type="gramStart"/>
      <w:r w:rsidRPr="00750985">
        <w:t>l’importance</w:t>
      </w:r>
      <w:proofErr w:type="gramEnd"/>
      <w:r w:rsidRPr="00750985">
        <w:t xml:space="preserve"> d’une flotte de véhicules adaptée et bien gérée;</w:t>
      </w:r>
    </w:p>
    <w:p w:rsidR="00203BDC" w:rsidRPr="00750985" w:rsidRDefault="00203BDC" w:rsidP="004905EE">
      <w:pPr>
        <w:pStyle w:val="Deuximeretrait"/>
        <w:tabs>
          <w:tab w:val="clear" w:pos="1134"/>
        </w:tabs>
        <w:rPr>
          <w:rFonts w:eastAsia="Calibri"/>
        </w:rPr>
      </w:pPr>
      <w:proofErr w:type="gramStart"/>
      <w:r w:rsidRPr="00750985">
        <w:t>des</w:t>
      </w:r>
      <w:proofErr w:type="gramEnd"/>
      <w:r w:rsidRPr="00750985">
        <w:t xml:space="preserve"> indicateurs de performance;</w:t>
      </w:r>
    </w:p>
    <w:p w:rsidR="00203BDC" w:rsidRPr="00750985" w:rsidRDefault="00203BDC" w:rsidP="004905EE">
      <w:pPr>
        <w:pStyle w:val="Deuximeretrait"/>
        <w:tabs>
          <w:tab w:val="clear" w:pos="1134"/>
        </w:tabs>
        <w:rPr>
          <w:rFonts w:eastAsia="Calibri"/>
        </w:rPr>
      </w:pPr>
      <w:proofErr w:type="gramStart"/>
      <w:r w:rsidRPr="00750985">
        <w:t>le</w:t>
      </w:r>
      <w:proofErr w:type="gramEnd"/>
      <w:r w:rsidRPr="00750985">
        <w:t xml:space="preserve"> diagnostic des accidents de la route et l’enquête sur la cause des accidents;</w:t>
      </w:r>
    </w:p>
    <w:p w:rsidR="00203BDC" w:rsidRPr="00750985" w:rsidRDefault="00203BDC" w:rsidP="004905EE">
      <w:pPr>
        <w:pStyle w:val="Deuximeretrait"/>
        <w:tabs>
          <w:tab w:val="clear" w:pos="1134"/>
        </w:tabs>
        <w:rPr>
          <w:rFonts w:eastAsia="Calibri"/>
        </w:rPr>
      </w:pPr>
      <w:proofErr w:type="gramStart"/>
      <w:r w:rsidRPr="00750985">
        <w:t>la</w:t>
      </w:r>
      <w:proofErr w:type="gramEnd"/>
      <w:r w:rsidRPr="00750985">
        <w:t xml:space="preserve"> reconnaissance des bonnes pratiques;</w:t>
      </w:r>
    </w:p>
    <w:p w:rsidR="00203BDC" w:rsidRPr="00750985" w:rsidRDefault="00203BDC" w:rsidP="004905EE">
      <w:pPr>
        <w:pStyle w:val="Deuximeretrait"/>
        <w:tabs>
          <w:tab w:val="clear" w:pos="1134"/>
        </w:tabs>
        <w:rPr>
          <w:rFonts w:eastAsia="Calibri"/>
        </w:rPr>
      </w:pPr>
      <w:proofErr w:type="gramStart"/>
      <w:r w:rsidRPr="00750985">
        <w:t>la</w:t>
      </w:r>
      <w:proofErr w:type="gramEnd"/>
      <w:r w:rsidRPr="00750985">
        <w:t xml:space="preserve"> surveillance des accidents de la route et l’analyse des causes fondamentales.</w:t>
      </w:r>
    </w:p>
    <w:p w:rsidR="00203BDC" w:rsidRPr="00750985" w:rsidRDefault="00203BDC" w:rsidP="00203BDC">
      <w:pPr>
        <w:suppressAutoHyphens/>
        <w:autoSpaceDN w:val="0"/>
        <w:jc w:val="both"/>
        <w:textAlignment w:val="baseline"/>
        <w:rPr>
          <w:rFonts w:asciiTheme="minorBidi" w:eastAsia="Calibri" w:hAnsiTheme="minorBidi" w:cstheme="minorBidi"/>
          <w:lang w:val="fr-CH" w:eastAsia="en-US"/>
        </w:rPr>
      </w:pPr>
    </w:p>
    <w:p w:rsidR="00203BDC" w:rsidRPr="00750985" w:rsidRDefault="00203BDC" w:rsidP="00203BDC">
      <w:pPr>
        <w:suppressAutoHyphens/>
        <w:autoSpaceDN w:val="0"/>
        <w:jc w:val="both"/>
        <w:textAlignment w:val="baseline"/>
        <w:rPr>
          <w:rFonts w:asciiTheme="minorBidi" w:eastAsia="Calibri" w:hAnsiTheme="minorBidi" w:cstheme="minorBidi"/>
        </w:rPr>
      </w:pPr>
      <w:r w:rsidRPr="00750985">
        <w:rPr>
          <w:rFonts w:asciiTheme="minorBidi" w:hAnsiTheme="minorBidi" w:cstheme="minorBidi"/>
        </w:rPr>
        <w:t>Ce guide constituera également la base pour la création d’un processus interne d’audit que les opérateurs désignés pourront utiliser afin d’évaluer leurs propres programmes.</w:t>
      </w:r>
      <w:r w:rsidR="00FF62D6">
        <w:rPr>
          <w:rFonts w:asciiTheme="minorBidi" w:hAnsiTheme="minorBidi" w:cstheme="minorBidi"/>
          <w:bCs/>
        </w:rPr>
        <w:t xml:space="preserve"> </w:t>
      </w:r>
      <w:r w:rsidRPr="00750985">
        <w:rPr>
          <w:rFonts w:asciiTheme="minorBidi" w:hAnsiTheme="minorBidi" w:cstheme="minorBidi"/>
          <w:bCs/>
        </w:rPr>
        <w:t>Certains des critères à surveiller devraient inclure:</w:t>
      </w:r>
    </w:p>
    <w:p w:rsidR="00203BDC" w:rsidRPr="00750985" w:rsidRDefault="00203BDC" w:rsidP="004905EE">
      <w:pPr>
        <w:pStyle w:val="Premierretrait"/>
        <w:tabs>
          <w:tab w:val="clear" w:pos="567"/>
        </w:tabs>
        <w:rPr>
          <w:rFonts w:eastAsia="Calibri"/>
        </w:rPr>
      </w:pPr>
      <w:r w:rsidRPr="00750985">
        <w:t xml:space="preserve">des processus documentés pour les professionnels dans le domaine de l’exploitation de la flotte </w:t>
      </w:r>
      <w:r w:rsidRPr="00750985">
        <w:rPr>
          <w:bCs/>
        </w:rPr>
        <w:t xml:space="preserve">et de la gestion de la sécurité dans le but d’améliorer la sécurité routière et </w:t>
      </w:r>
      <w:r w:rsidRPr="00750985">
        <w:t xml:space="preserve">contribuer à la réduction des accidents; dans ce contexte, des formations seront développées pour deux groupes différents: pour les mentors, issus d’opérateurs </w:t>
      </w:r>
      <w:r w:rsidR="00182681">
        <w:t>désignés</w:t>
      </w:r>
      <w:r w:rsidRPr="00750985">
        <w:t xml:space="preserve"> ayant déjà mis en œuvre des programmes pour la sécurité rou</w:t>
      </w:r>
      <w:r w:rsidR="0019798C">
        <w:softHyphen/>
      </w:r>
      <w:r w:rsidRPr="00750985">
        <w:t xml:space="preserve">tière, et pour les constructeurs, les professionnels venant d’opérateurs </w:t>
      </w:r>
      <w:r w:rsidR="00182681">
        <w:t>désignés</w:t>
      </w:r>
      <w:r w:rsidRPr="00750985">
        <w:t xml:space="preserve"> avec un grand nombre d’accidents de la route;</w:t>
      </w:r>
    </w:p>
    <w:p w:rsidR="00203BDC" w:rsidRPr="00750985" w:rsidRDefault="00203BDC" w:rsidP="004905EE">
      <w:pPr>
        <w:pStyle w:val="Premierretrait"/>
        <w:tabs>
          <w:tab w:val="clear" w:pos="567"/>
        </w:tabs>
        <w:rPr>
          <w:rFonts w:eastAsia="Calibri"/>
        </w:rPr>
      </w:pPr>
      <w:proofErr w:type="gramStart"/>
      <w:r w:rsidRPr="00750985">
        <w:t>des</w:t>
      </w:r>
      <w:proofErr w:type="gramEnd"/>
      <w:r w:rsidRPr="00750985">
        <w:t xml:space="preserve"> processus documentés pour les employés qui conduisent, avec l’obligation de connaître les princi</w:t>
      </w:r>
      <w:r w:rsidR="0019798C">
        <w:softHyphen/>
      </w:r>
      <w:r w:rsidRPr="00750985">
        <w:t>pes d’une conduite sûre et économique.</w:t>
      </w:r>
    </w:p>
    <w:p w:rsidR="00182681" w:rsidRDefault="00182681" w:rsidP="00182681">
      <w:pPr>
        <w:pStyle w:val="Premierretrait"/>
        <w:numPr>
          <w:ilvl w:val="0"/>
          <w:numId w:val="0"/>
        </w:numPr>
        <w:spacing w:before="0"/>
      </w:pPr>
    </w:p>
    <w:p w:rsidR="00203BDC" w:rsidRPr="00750985" w:rsidRDefault="00203BDC" w:rsidP="00182681">
      <w:pPr>
        <w:pStyle w:val="Premierretrait"/>
        <w:numPr>
          <w:ilvl w:val="0"/>
          <w:numId w:val="0"/>
        </w:numPr>
        <w:spacing w:before="0"/>
        <w:rPr>
          <w:rFonts w:eastAsia="Calibri"/>
        </w:rPr>
      </w:pPr>
      <w:r w:rsidRPr="00750985">
        <w:t>D’autres aspects importants de ce programme seraient:</w:t>
      </w:r>
    </w:p>
    <w:p w:rsidR="00203BDC" w:rsidRPr="00750985" w:rsidRDefault="00203BDC" w:rsidP="004905EE">
      <w:pPr>
        <w:pStyle w:val="Premierretrait"/>
        <w:tabs>
          <w:tab w:val="clear" w:pos="567"/>
        </w:tabs>
        <w:rPr>
          <w:rFonts w:eastAsia="Calibri"/>
        </w:rPr>
      </w:pPr>
      <w:proofErr w:type="gramStart"/>
      <w:r w:rsidRPr="00750985">
        <w:t>des</w:t>
      </w:r>
      <w:proofErr w:type="gramEnd"/>
      <w:r w:rsidRPr="00750985">
        <w:t xml:space="preserve"> mécanismes visant à établir une collaboration entre les opérateurs </w:t>
      </w:r>
      <w:r w:rsidR="00182681">
        <w:t>désignés</w:t>
      </w:r>
      <w:r w:rsidRPr="00750985">
        <w:t>, en particulier des partenariats entre les opérateurs disposant déjà de programmes de sécurité routière ayant fait leurs preuves, qui pourront aider les opérateurs avec un taux élevé d’accidents à élaborer leurs propres pro</w:t>
      </w:r>
      <w:r w:rsidR="0019798C">
        <w:softHyphen/>
      </w:r>
      <w:r w:rsidRPr="00750985">
        <w:t>grammes de sécurité routière;</w:t>
      </w:r>
    </w:p>
    <w:p w:rsidR="00203BDC" w:rsidRPr="00750985" w:rsidRDefault="00203BDC" w:rsidP="004905EE">
      <w:pPr>
        <w:pStyle w:val="Premierretrait"/>
        <w:tabs>
          <w:tab w:val="clear" w:pos="567"/>
        </w:tabs>
        <w:rPr>
          <w:rFonts w:eastAsia="Calibri"/>
        </w:rPr>
      </w:pPr>
      <w:proofErr w:type="gramStart"/>
      <w:r w:rsidRPr="00750985">
        <w:t>la</w:t>
      </w:r>
      <w:proofErr w:type="gramEnd"/>
      <w:r w:rsidRPr="00750985">
        <w:t xml:space="preserve"> reconnaissance des travaux menés à bien dans le cadre de ce programme avec la création du </w:t>
      </w:r>
      <w:r w:rsidR="00182681">
        <w:rPr>
          <w:bCs/>
        </w:rPr>
        <w:t>p</w:t>
      </w:r>
      <w:r w:rsidRPr="00750985">
        <w:rPr>
          <w:bCs/>
        </w:rPr>
        <w:t xml:space="preserve">rix de l’UPU pour la sécurité routière, dans l’objectif de présenter le prix lors de </w:t>
      </w:r>
      <w:r w:rsidRPr="00750985">
        <w:t>la Conférence mondiale annuelle de l’UPU pour la sécurité routière, qui se tiendra en 2026;</w:t>
      </w:r>
    </w:p>
    <w:p w:rsidR="00203BDC" w:rsidRPr="00750985" w:rsidRDefault="00203BDC" w:rsidP="004905EE">
      <w:pPr>
        <w:pStyle w:val="Premierretrait"/>
        <w:tabs>
          <w:tab w:val="clear" w:pos="567"/>
        </w:tabs>
        <w:rPr>
          <w:rFonts w:eastAsia="Calibri"/>
        </w:rPr>
      </w:pPr>
      <w:proofErr w:type="gramStart"/>
      <w:r w:rsidRPr="00750985">
        <w:t>la</w:t>
      </w:r>
      <w:proofErr w:type="gramEnd"/>
      <w:r w:rsidRPr="00750985">
        <w:t xml:space="preserve"> création de voies pour assurer un plus grand soutien de la </w:t>
      </w:r>
      <w:r w:rsidR="00182681" w:rsidRPr="00750985">
        <w:t>D</w:t>
      </w:r>
      <w:r w:rsidRPr="00750985">
        <w:t>irection générale, qui est essentiel au développement de ce programmes. Cela sera exprimé par l’engagement de l’UPU en</w:t>
      </w:r>
      <w:r w:rsidR="00182681">
        <w:t xml:space="preserve"> faveur de la sécurité routière</w:t>
      </w:r>
      <w:r w:rsidRPr="00750985">
        <w:t xml:space="preserve"> ainsi que l’engagement des opérateurs </w:t>
      </w:r>
      <w:r w:rsidR="00182681">
        <w:t>désignés</w:t>
      </w:r>
      <w:r w:rsidRPr="00750985">
        <w:t xml:space="preserve"> et l’organisation de journées de l’UPU pour la sécurité routière.</w:t>
      </w:r>
    </w:p>
    <w:p w:rsidR="00182681" w:rsidRDefault="00182681" w:rsidP="00182681">
      <w:pPr>
        <w:suppressAutoHyphens/>
        <w:autoSpaceDN w:val="0"/>
        <w:jc w:val="both"/>
        <w:textAlignment w:val="baseline"/>
        <w:rPr>
          <w:rFonts w:asciiTheme="minorBidi" w:hAnsiTheme="minorBidi" w:cstheme="minorBidi"/>
        </w:rPr>
      </w:pPr>
    </w:p>
    <w:p w:rsidR="00203BDC" w:rsidRPr="00750985" w:rsidRDefault="00203BDC" w:rsidP="00182681">
      <w:pPr>
        <w:suppressAutoHyphens/>
        <w:autoSpaceDN w:val="0"/>
        <w:jc w:val="both"/>
        <w:textAlignment w:val="baseline"/>
        <w:rPr>
          <w:rFonts w:asciiTheme="minorBidi" w:eastAsia="Calibri" w:hAnsiTheme="minorBidi" w:cstheme="minorBidi"/>
        </w:rPr>
      </w:pPr>
      <w:r w:rsidRPr="00750985">
        <w:rPr>
          <w:rFonts w:asciiTheme="minorBidi" w:hAnsiTheme="minorBidi" w:cstheme="minorBidi"/>
        </w:rPr>
        <w:t xml:space="preserve">Tous les travaux prendront en </w:t>
      </w:r>
      <w:r w:rsidR="00182681">
        <w:rPr>
          <w:rFonts w:asciiTheme="minorBidi" w:hAnsiTheme="minorBidi" w:cstheme="minorBidi"/>
        </w:rPr>
        <w:t>considération</w:t>
      </w:r>
      <w:r w:rsidRPr="00750985">
        <w:rPr>
          <w:rFonts w:asciiTheme="minorBidi" w:hAnsiTheme="minorBidi" w:cstheme="minorBidi"/>
        </w:rPr>
        <w:t xml:space="preserve"> les recommandations déjà exprimées dans le Rapport de recher</w:t>
      </w:r>
      <w:r w:rsidR="004905EE">
        <w:rPr>
          <w:rFonts w:asciiTheme="minorBidi" w:hAnsiTheme="minorBidi" w:cstheme="minorBidi"/>
        </w:rPr>
        <w:softHyphen/>
      </w:r>
      <w:r w:rsidRPr="00750985">
        <w:rPr>
          <w:rFonts w:asciiTheme="minorBidi" w:hAnsiTheme="minorBidi" w:cstheme="minorBidi"/>
        </w:rPr>
        <w:t>che sur la sécurité routière</w:t>
      </w:r>
      <w:r w:rsidRPr="00750985">
        <w:rPr>
          <w:rFonts w:asciiTheme="minorBidi" w:eastAsia="Calibri" w:hAnsiTheme="minorBidi" w:cstheme="minorBidi"/>
          <w:vertAlign w:val="superscript"/>
          <w:lang w:val="en-US" w:eastAsia="en-US"/>
        </w:rPr>
        <w:footnoteReference w:id="2"/>
      </w:r>
      <w:r w:rsidRPr="00750985">
        <w:rPr>
          <w:rFonts w:asciiTheme="minorBidi" w:hAnsiTheme="minorBidi" w:cstheme="minorBidi"/>
        </w:rPr>
        <w:t xml:space="preserve"> et dans le Plan mondial</w:t>
      </w:r>
      <w:r w:rsidRPr="00750985">
        <w:rPr>
          <w:rFonts w:asciiTheme="minorBidi" w:eastAsia="Calibri" w:hAnsiTheme="minorBidi" w:cstheme="minorBidi"/>
          <w:vertAlign w:val="superscript"/>
          <w:lang w:val="en-US" w:eastAsia="en-US"/>
        </w:rPr>
        <w:footnoteReference w:id="3"/>
      </w:r>
      <w:r w:rsidRPr="00750985">
        <w:rPr>
          <w:rFonts w:asciiTheme="minorBidi" w:hAnsiTheme="minorBidi" w:cstheme="minorBidi"/>
        </w:rPr>
        <w:t xml:space="preserve"> lui-même.</w:t>
      </w:r>
    </w:p>
    <w:p w:rsidR="00182681" w:rsidRDefault="00182681" w:rsidP="00203BDC">
      <w:pPr>
        <w:suppressAutoHyphens/>
        <w:autoSpaceDN w:val="0"/>
        <w:jc w:val="both"/>
        <w:textAlignment w:val="baseline"/>
        <w:rPr>
          <w:rFonts w:asciiTheme="minorBidi" w:hAnsiTheme="minorBidi" w:cstheme="minorBidi"/>
        </w:rPr>
      </w:pPr>
    </w:p>
    <w:p w:rsidR="00203BDC" w:rsidRPr="00750985" w:rsidRDefault="00203BDC" w:rsidP="00182681">
      <w:pPr>
        <w:suppressAutoHyphens/>
        <w:autoSpaceDN w:val="0"/>
        <w:jc w:val="both"/>
        <w:textAlignment w:val="baseline"/>
        <w:rPr>
          <w:rFonts w:asciiTheme="minorBidi" w:eastAsia="Calibri" w:hAnsiTheme="minorBidi" w:cstheme="minorBidi"/>
        </w:rPr>
      </w:pPr>
      <w:r w:rsidRPr="00750985">
        <w:rPr>
          <w:rFonts w:asciiTheme="minorBidi" w:hAnsiTheme="minorBidi" w:cstheme="minorBidi"/>
        </w:rPr>
        <w:t>Tous les travaux seront réalisés en coordination avec l’équipe d’experts pour la sécurité routière, qui travaille sous l’égide du Groupe</w:t>
      </w:r>
      <w:proofErr w:type="gramStart"/>
      <w:r w:rsidRPr="00750985">
        <w:rPr>
          <w:rFonts w:asciiTheme="minorBidi" w:hAnsiTheme="minorBidi" w:cstheme="minorBidi"/>
        </w:rPr>
        <w:t xml:space="preserve"> «Sécurité</w:t>
      </w:r>
      <w:proofErr w:type="gramEnd"/>
      <w:r w:rsidRPr="00750985">
        <w:rPr>
          <w:rFonts w:asciiTheme="minorBidi" w:hAnsiTheme="minorBidi" w:cstheme="minorBidi"/>
        </w:rPr>
        <w:t xml:space="preserve"> postale»</w:t>
      </w:r>
      <w:r w:rsidR="00182681">
        <w:rPr>
          <w:rFonts w:asciiTheme="minorBidi" w:hAnsiTheme="minorBidi" w:cstheme="minorBidi"/>
        </w:rPr>
        <w:t>,</w:t>
      </w:r>
      <w:r w:rsidRPr="00750985">
        <w:rPr>
          <w:rFonts w:asciiTheme="minorBidi" w:hAnsiTheme="minorBidi" w:cstheme="minorBidi"/>
        </w:rPr>
        <w:t xml:space="preserve"> en conjonction avec l’UPU et les opérateurs </w:t>
      </w:r>
      <w:r w:rsidR="00182681">
        <w:rPr>
          <w:rFonts w:asciiTheme="minorBidi" w:hAnsiTheme="minorBidi" w:cstheme="minorBidi"/>
        </w:rPr>
        <w:t>désignés</w:t>
      </w:r>
      <w:r w:rsidRPr="00750985">
        <w:rPr>
          <w:rFonts w:asciiTheme="minorBidi" w:hAnsiTheme="minorBidi" w:cstheme="minorBidi"/>
        </w:rPr>
        <w:t xml:space="preserve"> intervenants. Les travaux initiaux seront réalisés, évalués et poursuivis par le biais de projets pilotes conçus pour teste</w:t>
      </w:r>
      <w:r w:rsidR="004905EE">
        <w:rPr>
          <w:rFonts w:asciiTheme="minorBidi" w:hAnsiTheme="minorBidi" w:cstheme="minorBidi"/>
        </w:rPr>
        <w:t>r et renforcer la méthodologie.</w:t>
      </w:r>
    </w:p>
    <w:p w:rsidR="001C6BEC" w:rsidRPr="00203BDC" w:rsidRDefault="001C6BEC" w:rsidP="00AA2BE6">
      <w:pPr>
        <w:jc w:val="both"/>
        <w:rPr>
          <w:lang w:val="fr-CH"/>
        </w:rPr>
      </w:pPr>
      <w:bookmarkStart w:id="0" w:name="_GoBack"/>
      <w:bookmarkEnd w:id="0"/>
    </w:p>
    <w:sectPr w:rsidR="001C6BEC" w:rsidRPr="00203BDC" w:rsidSect="0019798C">
      <w:headerReference w:type="even" r:id="rId9"/>
      <w:headerReference w:type="default" r:id="rId10"/>
      <w:headerReference w:type="first" r:id="rId11"/>
      <w:endnotePr>
        <w:numFmt w:val="decimal"/>
      </w:endnotePr>
      <w:pgSz w:w="11907" w:h="16840" w:code="9"/>
      <w:pgMar w:top="1134" w:right="851" w:bottom="85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849" w:rsidRDefault="004F0849">
      <w:pPr>
        <w:spacing w:after="120"/>
        <w:rPr>
          <w:sz w:val="18"/>
        </w:rPr>
      </w:pPr>
      <w:r>
        <w:rPr>
          <w:sz w:val="18"/>
        </w:rPr>
        <w:t>____________</w:t>
      </w:r>
    </w:p>
  </w:endnote>
  <w:endnote w:type="continuationSeparator" w:id="0">
    <w:p w:rsidR="004F0849" w:rsidRDefault="004F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45 Helvetica Light">
    <w:altName w:val="Bookman Old Style"/>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849" w:rsidRDefault="004F0849" w:rsidP="009E7ADC">
      <w:pPr>
        <w:rPr>
          <w:sz w:val="18"/>
        </w:rPr>
      </w:pPr>
    </w:p>
  </w:footnote>
  <w:footnote w:type="continuationSeparator" w:id="0">
    <w:p w:rsidR="004F0849" w:rsidRPr="00252BCD" w:rsidRDefault="004F0849" w:rsidP="009E7ADC">
      <w:pPr>
        <w:rPr>
          <w:sz w:val="18"/>
          <w:szCs w:val="18"/>
        </w:rPr>
      </w:pPr>
    </w:p>
  </w:footnote>
  <w:footnote w:type="continuationNotice" w:id="1">
    <w:p w:rsidR="004F0849" w:rsidRPr="00252BCD" w:rsidRDefault="004F0849" w:rsidP="004E2B3B">
      <w:pPr>
        <w:rPr>
          <w:sz w:val="18"/>
          <w:szCs w:val="18"/>
        </w:rPr>
      </w:pPr>
    </w:p>
  </w:footnote>
  <w:footnote w:id="2">
    <w:p w:rsidR="00203BDC" w:rsidRPr="00A80C1E" w:rsidRDefault="00203BDC" w:rsidP="004905EE">
      <w:pPr>
        <w:pStyle w:val="Notedebasdepage"/>
        <w:spacing w:line="220" w:lineRule="atLeast"/>
      </w:pPr>
      <w:r w:rsidRPr="00A80C1E">
        <w:rPr>
          <w:rStyle w:val="Appelnotedebasdep"/>
        </w:rPr>
        <w:footnoteRef/>
      </w:r>
      <w:r w:rsidRPr="00A80C1E">
        <w:t xml:space="preserve"> Disponible sur demande auprès de l’UPU (</w:t>
      </w:r>
      <w:hyperlink r:id="rId1" w:history="1">
        <w:r w:rsidRPr="00A80C1E">
          <w:rPr>
            <w:rStyle w:val="Hyperlink1"/>
            <w:u w:val="none"/>
          </w:rPr>
          <w:t>security@upu.int</w:t>
        </w:r>
      </w:hyperlink>
      <w:r w:rsidRPr="00A80C1E">
        <w:t>)</w:t>
      </w:r>
      <w:r w:rsidR="004905EE">
        <w:t>.</w:t>
      </w:r>
    </w:p>
  </w:footnote>
  <w:footnote w:id="3">
    <w:p w:rsidR="00203BDC" w:rsidRPr="00A80C1E" w:rsidRDefault="00203BDC" w:rsidP="004905EE">
      <w:pPr>
        <w:pStyle w:val="Notedebasdepage"/>
        <w:spacing w:line="220" w:lineRule="atLeast"/>
      </w:pPr>
      <w:r w:rsidRPr="00A80C1E">
        <w:rPr>
          <w:rStyle w:val="Appelnotedebasdep"/>
        </w:rPr>
        <w:footnoteRef/>
      </w:r>
      <w:r w:rsidRPr="00A80C1E">
        <w:t xml:space="preserve"> </w:t>
      </w:r>
      <w:hyperlink r:id="rId2" w:history="1">
        <w:r w:rsidR="00A80C1E" w:rsidRPr="00A80C1E">
          <w:rPr>
            <w:rStyle w:val="Lienhypertexte"/>
            <w:color w:val="auto"/>
            <w:u w:val="none"/>
          </w:rPr>
          <w:t>https://pmnlo-upu-iso03.upu.ch/doc/docview/viewer/docN5A198108E319d0e7febf21ea8f26cb77c2343acdaaabf9b6266</w:t>
        </w:r>
        <w:r w:rsidR="00A80C1E" w:rsidRPr="00A80C1E">
          <w:rPr>
            <w:rStyle w:val="Lienhypertexte"/>
            <w:color w:val="auto"/>
            <w:u w:val="none"/>
          </w:rPr>
          <w:br/>
          <w:t>c9b5d8a6a70b1512ec715e61a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F5" w:rsidRDefault="00527FF5">
    <w:pPr>
      <w:jc w:val="center"/>
    </w:pPr>
    <w:r>
      <w:pgNum/>
    </w:r>
  </w:p>
  <w:p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F5" w:rsidRDefault="00527FF5" w:rsidP="00F639BA">
    <w:pPr>
      <w:jc w:val="center"/>
    </w:pPr>
    <w:r>
      <w:pgNum/>
    </w:r>
  </w:p>
  <w:p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F87364" w:rsidRPr="001813EE">
      <w:trPr>
        <w:trHeight w:val="1418"/>
      </w:trPr>
      <w:tc>
        <w:tcPr>
          <w:tcW w:w="3119" w:type="dxa"/>
        </w:tcPr>
        <w:p w:rsidR="00F87364" w:rsidRDefault="0088221D" w:rsidP="00AE0D85">
          <w:pPr>
            <w:pStyle w:val="En-tte"/>
            <w:spacing w:before="20" w:after="1180"/>
            <w:rPr>
              <w:rFonts w:ascii="45 Helvetica Light" w:hAnsi="45 Helvetica Light"/>
              <w:sz w:val="18"/>
            </w:rPr>
          </w:pPr>
          <w:r>
            <w:rPr>
              <w:rFonts w:ascii="45 Helvetica Light" w:hAnsi="45 Helvetica Light"/>
              <w:noProof/>
              <w:sz w:val="18"/>
              <w:lang w:val="fr-CH"/>
            </w:rPr>
            <w:drawing>
              <wp:inline distT="0" distB="0" distL="0" distR="0" wp14:anchorId="14429542" wp14:editId="5964C5F0">
                <wp:extent cx="1749963" cy="421485"/>
                <wp:effectExtent l="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1200_fr.bmp"/>
                        <pic:cNvPicPr/>
                      </pic:nvPicPr>
                      <pic:blipFill>
                        <a:blip r:embed="rId1">
                          <a:extLst>
                            <a:ext uri="{28A0092B-C50C-407E-A947-70E740481C1C}">
                              <a14:useLocalDpi xmlns:a14="http://schemas.microsoft.com/office/drawing/2010/main" val="0"/>
                            </a:ext>
                          </a:extLst>
                        </a:blip>
                        <a:stretch>
                          <a:fillRect/>
                        </a:stretch>
                      </pic:blipFill>
                      <pic:spPr>
                        <a:xfrm>
                          <a:off x="0" y="0"/>
                          <a:ext cx="1749963" cy="421485"/>
                        </a:xfrm>
                        <a:prstGeom prst="rect">
                          <a:avLst/>
                        </a:prstGeom>
                      </pic:spPr>
                    </pic:pic>
                  </a:graphicData>
                </a:graphic>
              </wp:inline>
            </w:drawing>
          </w:r>
        </w:p>
      </w:tc>
      <w:tc>
        <w:tcPr>
          <w:tcW w:w="6520" w:type="dxa"/>
        </w:tcPr>
        <w:p w:rsidR="00F87364" w:rsidRDefault="00203BDC" w:rsidP="00B878D6">
          <w:pPr>
            <w:autoSpaceDE w:val="0"/>
            <w:autoSpaceDN w:val="0"/>
            <w:adjustRightInd w:val="0"/>
            <w:ind w:right="8"/>
            <w:jc w:val="right"/>
            <w:rPr>
              <w:rFonts w:cs="Arial"/>
            </w:rPr>
          </w:pPr>
          <w:r>
            <w:t>CEP C 1 GSP 2023.2–Doc 7</w:t>
          </w:r>
          <w:proofErr w:type="gramStart"/>
          <w:r>
            <w:t>c.Annexe</w:t>
          </w:r>
          <w:proofErr w:type="gramEnd"/>
          <w:r>
            <w:t xml:space="preserve"> 1</w:t>
          </w:r>
        </w:p>
        <w:p w:rsidR="00282FAD" w:rsidRPr="001813EE" w:rsidRDefault="00282FAD" w:rsidP="001567C5">
          <w:pPr>
            <w:autoSpaceDE w:val="0"/>
            <w:autoSpaceDN w:val="0"/>
            <w:adjustRightInd w:val="0"/>
            <w:jc w:val="right"/>
          </w:pPr>
        </w:p>
      </w:tc>
    </w:tr>
  </w:tbl>
  <w:p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F66648CA"/>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AFE69E4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38A019C0"/>
    <w:multiLevelType w:val="multilevel"/>
    <w:tmpl w:val="4384A3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9"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0"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1"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2" w15:restartNumberingAfterBreak="0">
    <w:nsid w:val="66E70623"/>
    <w:multiLevelType w:val="multilevel"/>
    <w:tmpl w:val="5218FC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ADB125E"/>
    <w:multiLevelType w:val="singleLevel"/>
    <w:tmpl w:val="3500B6DA"/>
    <w:lvl w:ilvl="0">
      <w:numFmt w:val="bullet"/>
      <w:pStyle w:val="Deuximeretrait"/>
      <w:lvlText w:val=""/>
      <w:lvlJc w:val="left"/>
      <w:pPr>
        <w:tabs>
          <w:tab w:val="num" w:pos="1134"/>
        </w:tabs>
        <w:ind w:left="1134" w:hanging="567"/>
      </w:pPr>
      <w:rPr>
        <w:rFonts w:ascii="Symbol" w:hAnsi="Symbol" w:hint="default"/>
      </w:rPr>
    </w:lvl>
  </w:abstractNum>
  <w:abstractNum w:abstractNumId="14"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5" w15:restartNumberingAfterBreak="0">
    <w:nsid w:val="710A50C5"/>
    <w:multiLevelType w:val="multilevel"/>
    <w:tmpl w:val="AD2291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8"/>
  </w:num>
  <w:num w:numId="2">
    <w:abstractNumId w:val="7"/>
  </w:num>
  <w:num w:numId="3">
    <w:abstractNumId w:val="5"/>
  </w:num>
  <w:num w:numId="4">
    <w:abstractNumId w:val="4"/>
  </w:num>
  <w:num w:numId="5">
    <w:abstractNumId w:val="9"/>
  </w:num>
  <w:num w:numId="6">
    <w:abstractNumId w:val="16"/>
  </w:num>
  <w:num w:numId="7">
    <w:abstractNumId w:val="17"/>
  </w:num>
  <w:num w:numId="8">
    <w:abstractNumId w:val="3"/>
  </w:num>
  <w:num w:numId="9">
    <w:abstractNumId w:val="1"/>
  </w:num>
  <w:num w:numId="10">
    <w:abstractNumId w:val="11"/>
  </w:num>
  <w:num w:numId="11">
    <w:abstractNumId w:val="10"/>
  </w:num>
  <w:num w:numId="12">
    <w:abstractNumId w:val="14"/>
  </w:num>
  <w:num w:numId="13">
    <w:abstractNumId w:val="0"/>
  </w:num>
  <w:num w:numId="14">
    <w:abstractNumId w:val="13"/>
  </w:num>
  <w:num w:numId="15">
    <w:abstractNumId w:val="2"/>
  </w:num>
  <w:num w:numId="16">
    <w:abstractNumId w:val="13"/>
  </w:num>
  <w:num w:numId="17">
    <w:abstractNumId w:val="0"/>
  </w:num>
  <w:num w:numId="18">
    <w:abstractNumId w:val="2"/>
  </w:num>
  <w:num w:numId="19">
    <w:abstractNumId w:val="6"/>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49"/>
    <w:rsid w:val="000021DD"/>
    <w:rsid w:val="00004D2B"/>
    <w:rsid w:val="0002298F"/>
    <w:rsid w:val="00023669"/>
    <w:rsid w:val="000240AC"/>
    <w:rsid w:val="00026EC5"/>
    <w:rsid w:val="000465C9"/>
    <w:rsid w:val="000569F6"/>
    <w:rsid w:val="00070861"/>
    <w:rsid w:val="000B24C3"/>
    <w:rsid w:val="000D1BB1"/>
    <w:rsid w:val="000E0AB2"/>
    <w:rsid w:val="000F0306"/>
    <w:rsid w:val="001006F4"/>
    <w:rsid w:val="00104F21"/>
    <w:rsid w:val="0011269C"/>
    <w:rsid w:val="00121A6F"/>
    <w:rsid w:val="00125FDB"/>
    <w:rsid w:val="00154EF0"/>
    <w:rsid w:val="001567C5"/>
    <w:rsid w:val="00161F92"/>
    <w:rsid w:val="0017006D"/>
    <w:rsid w:val="00172757"/>
    <w:rsid w:val="001813EE"/>
    <w:rsid w:val="00182681"/>
    <w:rsid w:val="00182CE5"/>
    <w:rsid w:val="0019798C"/>
    <w:rsid w:val="001A4314"/>
    <w:rsid w:val="001C0707"/>
    <w:rsid w:val="001C6BEC"/>
    <w:rsid w:val="00203BDC"/>
    <w:rsid w:val="00204F41"/>
    <w:rsid w:val="00232DCA"/>
    <w:rsid w:val="00243A44"/>
    <w:rsid w:val="00252BCD"/>
    <w:rsid w:val="00261EAE"/>
    <w:rsid w:val="0026706D"/>
    <w:rsid w:val="00272937"/>
    <w:rsid w:val="00282124"/>
    <w:rsid w:val="00282FAD"/>
    <w:rsid w:val="0029168C"/>
    <w:rsid w:val="002960D2"/>
    <w:rsid w:val="002A3142"/>
    <w:rsid w:val="002A663B"/>
    <w:rsid w:val="002B1B7A"/>
    <w:rsid w:val="002B2A67"/>
    <w:rsid w:val="002B66E8"/>
    <w:rsid w:val="002C3576"/>
    <w:rsid w:val="002E35B9"/>
    <w:rsid w:val="002F7773"/>
    <w:rsid w:val="003002DC"/>
    <w:rsid w:val="003104EA"/>
    <w:rsid w:val="003118BD"/>
    <w:rsid w:val="00325076"/>
    <w:rsid w:val="00325132"/>
    <w:rsid w:val="00331C6E"/>
    <w:rsid w:val="003405FB"/>
    <w:rsid w:val="003407BC"/>
    <w:rsid w:val="00342CD6"/>
    <w:rsid w:val="00343FF6"/>
    <w:rsid w:val="0035401F"/>
    <w:rsid w:val="00355163"/>
    <w:rsid w:val="00361DE6"/>
    <w:rsid w:val="00372B67"/>
    <w:rsid w:val="0037420A"/>
    <w:rsid w:val="003750AE"/>
    <w:rsid w:val="00376861"/>
    <w:rsid w:val="003B1F46"/>
    <w:rsid w:val="003D3285"/>
    <w:rsid w:val="003F1B05"/>
    <w:rsid w:val="003F1D49"/>
    <w:rsid w:val="00421698"/>
    <w:rsid w:val="00422F57"/>
    <w:rsid w:val="0046077D"/>
    <w:rsid w:val="004611D5"/>
    <w:rsid w:val="00471CE5"/>
    <w:rsid w:val="004905EE"/>
    <w:rsid w:val="004A31FB"/>
    <w:rsid w:val="004A6F3C"/>
    <w:rsid w:val="004C4EBF"/>
    <w:rsid w:val="004C6BEE"/>
    <w:rsid w:val="004D03CA"/>
    <w:rsid w:val="004D221E"/>
    <w:rsid w:val="004D2DA6"/>
    <w:rsid w:val="004E05F3"/>
    <w:rsid w:val="004E1F28"/>
    <w:rsid w:val="004E2B3B"/>
    <w:rsid w:val="004E3F8B"/>
    <w:rsid w:val="004E63E4"/>
    <w:rsid w:val="004F0849"/>
    <w:rsid w:val="0051701F"/>
    <w:rsid w:val="00521B60"/>
    <w:rsid w:val="00527FF5"/>
    <w:rsid w:val="005345AF"/>
    <w:rsid w:val="00536401"/>
    <w:rsid w:val="00543B44"/>
    <w:rsid w:val="00565476"/>
    <w:rsid w:val="00570EDB"/>
    <w:rsid w:val="005749CB"/>
    <w:rsid w:val="00577828"/>
    <w:rsid w:val="00590BBB"/>
    <w:rsid w:val="005A1FD5"/>
    <w:rsid w:val="005B20C7"/>
    <w:rsid w:val="005B2B56"/>
    <w:rsid w:val="005C2838"/>
    <w:rsid w:val="005D36DD"/>
    <w:rsid w:val="005D36F8"/>
    <w:rsid w:val="005D42D7"/>
    <w:rsid w:val="005D7F27"/>
    <w:rsid w:val="005E5DC2"/>
    <w:rsid w:val="005F0892"/>
    <w:rsid w:val="005F4A1C"/>
    <w:rsid w:val="00637585"/>
    <w:rsid w:val="00643F80"/>
    <w:rsid w:val="00653717"/>
    <w:rsid w:val="00653FFD"/>
    <w:rsid w:val="00654B91"/>
    <w:rsid w:val="00656A8B"/>
    <w:rsid w:val="006724B1"/>
    <w:rsid w:val="006A600A"/>
    <w:rsid w:val="006A79AB"/>
    <w:rsid w:val="006B1882"/>
    <w:rsid w:val="006C019C"/>
    <w:rsid w:val="006C47EF"/>
    <w:rsid w:val="006D5D8D"/>
    <w:rsid w:val="006E36B1"/>
    <w:rsid w:val="0071191A"/>
    <w:rsid w:val="00717D08"/>
    <w:rsid w:val="00723D0A"/>
    <w:rsid w:val="007349C0"/>
    <w:rsid w:val="00756C4A"/>
    <w:rsid w:val="00757BB9"/>
    <w:rsid w:val="00761DEC"/>
    <w:rsid w:val="0076291C"/>
    <w:rsid w:val="00765B70"/>
    <w:rsid w:val="0077420D"/>
    <w:rsid w:val="00780CBD"/>
    <w:rsid w:val="00783C7C"/>
    <w:rsid w:val="007A2839"/>
    <w:rsid w:val="007B6036"/>
    <w:rsid w:val="007C679A"/>
    <w:rsid w:val="007D07CD"/>
    <w:rsid w:val="007D2933"/>
    <w:rsid w:val="007D6956"/>
    <w:rsid w:val="007E0A42"/>
    <w:rsid w:val="007E6319"/>
    <w:rsid w:val="007F6E68"/>
    <w:rsid w:val="00836352"/>
    <w:rsid w:val="00843281"/>
    <w:rsid w:val="00857B50"/>
    <w:rsid w:val="0087570D"/>
    <w:rsid w:val="00881630"/>
    <w:rsid w:val="0088221D"/>
    <w:rsid w:val="00887101"/>
    <w:rsid w:val="00894CD8"/>
    <w:rsid w:val="00897E26"/>
    <w:rsid w:val="008A5A68"/>
    <w:rsid w:val="008B7E25"/>
    <w:rsid w:val="008D3810"/>
    <w:rsid w:val="008E54AA"/>
    <w:rsid w:val="008E7619"/>
    <w:rsid w:val="008F12A9"/>
    <w:rsid w:val="008F1500"/>
    <w:rsid w:val="008F1849"/>
    <w:rsid w:val="0091074C"/>
    <w:rsid w:val="00932DC4"/>
    <w:rsid w:val="009434D3"/>
    <w:rsid w:val="009569DE"/>
    <w:rsid w:val="00957FCD"/>
    <w:rsid w:val="00974119"/>
    <w:rsid w:val="009B449A"/>
    <w:rsid w:val="009C5BD0"/>
    <w:rsid w:val="009D77AD"/>
    <w:rsid w:val="009E7ADC"/>
    <w:rsid w:val="009F110E"/>
    <w:rsid w:val="009F36E2"/>
    <w:rsid w:val="00A0351C"/>
    <w:rsid w:val="00A06C89"/>
    <w:rsid w:val="00A418A0"/>
    <w:rsid w:val="00A455D1"/>
    <w:rsid w:val="00A53E1E"/>
    <w:rsid w:val="00A5792F"/>
    <w:rsid w:val="00A6703E"/>
    <w:rsid w:val="00A73891"/>
    <w:rsid w:val="00A809D7"/>
    <w:rsid w:val="00A80C1E"/>
    <w:rsid w:val="00A92377"/>
    <w:rsid w:val="00AA01D2"/>
    <w:rsid w:val="00AA2BE6"/>
    <w:rsid w:val="00AA61ED"/>
    <w:rsid w:val="00AB7653"/>
    <w:rsid w:val="00AC2359"/>
    <w:rsid w:val="00AE0D85"/>
    <w:rsid w:val="00AE2BF2"/>
    <w:rsid w:val="00AE5CA4"/>
    <w:rsid w:val="00B00E3F"/>
    <w:rsid w:val="00B010D9"/>
    <w:rsid w:val="00B11447"/>
    <w:rsid w:val="00B12AF5"/>
    <w:rsid w:val="00B1711E"/>
    <w:rsid w:val="00B262DA"/>
    <w:rsid w:val="00B30CB2"/>
    <w:rsid w:val="00B40E14"/>
    <w:rsid w:val="00B458DD"/>
    <w:rsid w:val="00B61F06"/>
    <w:rsid w:val="00B7190D"/>
    <w:rsid w:val="00B838AD"/>
    <w:rsid w:val="00B86608"/>
    <w:rsid w:val="00B878D6"/>
    <w:rsid w:val="00BA404F"/>
    <w:rsid w:val="00BB3ACD"/>
    <w:rsid w:val="00BC0807"/>
    <w:rsid w:val="00BC1442"/>
    <w:rsid w:val="00BC4919"/>
    <w:rsid w:val="00BF2822"/>
    <w:rsid w:val="00BF2F28"/>
    <w:rsid w:val="00BF5B9E"/>
    <w:rsid w:val="00C0653D"/>
    <w:rsid w:val="00C06D24"/>
    <w:rsid w:val="00C07C74"/>
    <w:rsid w:val="00C17350"/>
    <w:rsid w:val="00C21452"/>
    <w:rsid w:val="00C2769E"/>
    <w:rsid w:val="00C35110"/>
    <w:rsid w:val="00C402AE"/>
    <w:rsid w:val="00C56D48"/>
    <w:rsid w:val="00C74B88"/>
    <w:rsid w:val="00C903B8"/>
    <w:rsid w:val="00C91301"/>
    <w:rsid w:val="00C91C2F"/>
    <w:rsid w:val="00CA3D20"/>
    <w:rsid w:val="00CA7F92"/>
    <w:rsid w:val="00CB2FA6"/>
    <w:rsid w:val="00CB36A2"/>
    <w:rsid w:val="00CC0402"/>
    <w:rsid w:val="00CC3161"/>
    <w:rsid w:val="00CC7367"/>
    <w:rsid w:val="00CD03E7"/>
    <w:rsid w:val="00CE2270"/>
    <w:rsid w:val="00D154F8"/>
    <w:rsid w:val="00D3589B"/>
    <w:rsid w:val="00D50254"/>
    <w:rsid w:val="00D61B31"/>
    <w:rsid w:val="00D64064"/>
    <w:rsid w:val="00D73262"/>
    <w:rsid w:val="00D73A0A"/>
    <w:rsid w:val="00DA49AB"/>
    <w:rsid w:val="00DA646A"/>
    <w:rsid w:val="00DB7EC0"/>
    <w:rsid w:val="00DC4D86"/>
    <w:rsid w:val="00E00BF1"/>
    <w:rsid w:val="00E048A5"/>
    <w:rsid w:val="00E10CD5"/>
    <w:rsid w:val="00E270C8"/>
    <w:rsid w:val="00E31D00"/>
    <w:rsid w:val="00E3448B"/>
    <w:rsid w:val="00E3538A"/>
    <w:rsid w:val="00E603F6"/>
    <w:rsid w:val="00E72B05"/>
    <w:rsid w:val="00E76C5C"/>
    <w:rsid w:val="00EC6981"/>
    <w:rsid w:val="00ED183A"/>
    <w:rsid w:val="00ED63F7"/>
    <w:rsid w:val="00ED6707"/>
    <w:rsid w:val="00ED7E1E"/>
    <w:rsid w:val="00EE2A54"/>
    <w:rsid w:val="00F11A72"/>
    <w:rsid w:val="00F15EB7"/>
    <w:rsid w:val="00F33A54"/>
    <w:rsid w:val="00F446A0"/>
    <w:rsid w:val="00F521BF"/>
    <w:rsid w:val="00F6214A"/>
    <w:rsid w:val="00F62978"/>
    <w:rsid w:val="00F639BA"/>
    <w:rsid w:val="00F84033"/>
    <w:rsid w:val="00F87364"/>
    <w:rsid w:val="00F876C0"/>
    <w:rsid w:val="00F87A5B"/>
    <w:rsid w:val="00F963C3"/>
    <w:rsid w:val="00FA2EFC"/>
    <w:rsid w:val="00FB6F79"/>
    <w:rsid w:val="00FC5E68"/>
    <w:rsid w:val="00FD4FD5"/>
    <w:rsid w:val="00FE6153"/>
    <w:rsid w:val="00FF2BFE"/>
    <w:rsid w:val="00FF62D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06553882"/>
  <w15:docId w15:val="{A60AB05F-8C7D-45BD-B6B5-9B99A79E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BDC"/>
    <w:pPr>
      <w:spacing w:line="240" w:lineRule="atLeast"/>
    </w:pPr>
    <w:rPr>
      <w:rFonts w:ascii="Arial" w:hAnsi="Arial"/>
      <w:lang w:val="fr-FR" w:eastAsia="fr-CH"/>
    </w:rPr>
  </w:style>
  <w:style w:type="paragraph" w:styleId="Titre1">
    <w:name w:val="heading 1"/>
    <w:basedOn w:val="Normal"/>
    <w:next w:val="Textedebase"/>
    <w:qFormat/>
    <w:pPr>
      <w:ind w:left="567" w:hanging="567"/>
      <w:jc w:val="both"/>
      <w:outlineLvl w:val="0"/>
    </w:pPr>
    <w:rPr>
      <w:b/>
      <w:bCs/>
    </w:rPr>
  </w:style>
  <w:style w:type="paragraph" w:styleId="Titre2">
    <w:name w:val="heading 2"/>
    <w:basedOn w:val="Normal"/>
    <w:next w:val="Textedebase"/>
    <w:qFormat/>
    <w:pPr>
      <w:ind w:left="567" w:hanging="567"/>
      <w:jc w:val="both"/>
      <w:outlineLvl w:val="1"/>
    </w:pPr>
    <w:rPr>
      <w:i/>
      <w:iCs/>
    </w:rPr>
  </w:style>
  <w:style w:type="paragraph" w:styleId="Titre3">
    <w:name w:val="heading 3"/>
    <w:basedOn w:val="Normal"/>
    <w:next w:val="Textedebase"/>
    <w:qFormat/>
    <w:pPr>
      <w:tabs>
        <w:tab w:val="left" w:pos="567"/>
      </w:tabs>
      <w:jc w:val="both"/>
      <w:outlineLvl w:val="2"/>
    </w:pPr>
  </w:style>
  <w:style w:type="paragraph" w:styleId="Titre4">
    <w:name w:val="heading 4"/>
    <w:basedOn w:val="Normal"/>
    <w:next w:val="Normal"/>
    <w:qFormat/>
    <w:rsid w:val="0035401F"/>
    <w:pPr>
      <w:outlineLvl w:val="3"/>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Notedebasdepage">
    <w:name w:val="footnote text"/>
    <w:basedOn w:val="Normal"/>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semiHidden/>
    <w:rPr>
      <w:sz w:val="20"/>
      <w:szCs w:val="20"/>
      <w:vertAlign w:val="superscript"/>
    </w:rPr>
  </w:style>
  <w:style w:type="paragraph" w:styleId="TM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Textedebulles">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521B60"/>
    <w:pPr>
      <w:autoSpaceDE w:val="0"/>
      <w:autoSpaceDN w:val="0"/>
      <w:adjustRightInd w:val="0"/>
      <w:jc w:val="both"/>
    </w:pPr>
    <w:rPr>
      <w:rFonts w:cs="Arial"/>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 w:type="character" w:customStyle="1" w:styleId="Hyperlink1">
    <w:name w:val="Hyperlink1"/>
    <w:basedOn w:val="Policepardfaut"/>
    <w:uiPriority w:val="99"/>
    <w:unhideWhenUsed/>
    <w:rsid w:val="00203BDC"/>
    <w:rPr>
      <w:color w:val="0563C1"/>
      <w:u w:val="single"/>
    </w:rPr>
  </w:style>
  <w:style w:type="character" w:styleId="Lienhypertexte">
    <w:name w:val="Hyperlink"/>
    <w:basedOn w:val="Policepardfaut"/>
    <w:unhideWhenUsed/>
    <w:rsid w:val="00A80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pmnlo-upu-iso03.upu.ch/doc/docview/viewer/docN5A198108E319d0e7febf21ea8f26cb77c2343acdaaabf9b6266c9b5d8a6a70b1512ec715e61a" TargetMode="External"/><Relationship Id="rId1" Type="http://schemas.openxmlformats.org/officeDocument/2006/relationships/hyperlink" Target="mailto:security@up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20Annexe%20portra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PU Document" ma:contentTypeID="0x0101007CC4175335484325B3990F07AC566D54003D08DE69A35E0C4EAF83D2DBBDDE0B59" ma:contentTypeVersion="11" ma:contentTypeDescription="UPU:Core:ContentType:UPUDocument:Description" ma:contentTypeScope="" ma:versionID="6da738eac225dff3b1b6063809b0266e">
  <xsd:schema xmlns:xsd="http://www.w3.org/2001/XMLSchema" xmlns:xs="http://www.w3.org/2001/XMLSchema" xmlns:p="http://schemas.microsoft.com/office/2006/metadata/properties" xmlns:ns3="afcee8e8-a15f-4c1d-9e18-56f3b9d28193" xmlns:ns4="cb7e8705-a4ae-4853-8462-de550d8ad51f" targetNamespace="http://schemas.microsoft.com/office/2006/metadata/properties" ma:root="true" ma:fieldsID="1fb787f6b7f683bd1ffb0397a75ee929" ns3:_="" ns4:_="">
    <xsd:import namespace="afcee8e8-a15f-4c1d-9e18-56f3b9d28193"/>
    <xsd:import namespace="cb7e8705-a4ae-4853-8462-de550d8ad51f"/>
    <xsd:element name="properties">
      <xsd:complexType>
        <xsd:sequence>
          <xsd:element name="documentManagement">
            <xsd:complexType>
              <xsd:all>
                <xsd:element ref="ns3:_upuTitleEn"/>
                <xsd:element ref="ns3:_upuTitleFr"/>
                <xsd:element ref="ns3:_upuDocumentLanguage"/>
                <xsd:element ref="ns3:_upuSequence"/>
                <xsd:element ref="ns4:TaxCatchAll" minOccurs="0"/>
                <xsd:element ref="ns3:_upuDocumentNatureTaxHTField0"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ee8e8-a15f-4c1d-9e18-56f3b9d28193" elementFormDefault="qualified">
    <xsd:import namespace="http://schemas.microsoft.com/office/2006/documentManagement/types"/>
    <xsd:import namespace="http://schemas.microsoft.com/office/infopath/2007/PartnerControls"/>
    <xsd:element name="_upuTitleEn" ma:index="10" ma:displayName="Title (English)" ma:internalName="_upuTitleEn" ma:readOnly="false">
      <xsd:simpleType>
        <xsd:restriction base="dms:Note"/>
      </xsd:simpleType>
    </xsd:element>
    <xsd:element name="_upuTitleFr" ma:index="11" ma:displayName="Title (French)" ma:internalName="_upuTitleFr" ma:readOnly="false">
      <xsd:simpleType>
        <xsd:restriction base="dms:Note"/>
      </xsd:simpleType>
    </xsd:element>
    <xsd:element name="_upuDocumentLanguage" ma:index="12" ma:displayName="Document Language" ma:format="Dropdown" ma:internalName="_upuDocumentLanguage" ma:readOnly="false">
      <xsd:simpleType>
        <xsd:restriction base="dms:Choice">
          <xsd:enumeration value="FR"/>
          <xsd:enumeration value="EN"/>
          <xsd:enumeration value="AR"/>
          <xsd:enumeration value="ES"/>
          <xsd:enumeration value="PT"/>
          <xsd:enumeration value="RU"/>
        </xsd:restriction>
      </xsd:simpleType>
    </xsd:element>
    <xsd:element name="_upuSequence" ma:index="13" ma:displayName="Sequence" ma:default="0" ma:internalName="_upuSequence" ma:readOnly="false" ma:percentage="FALSE">
      <xsd:simpleType>
        <xsd:restriction base="dms:Number"/>
      </xsd:simpleType>
    </xsd:element>
    <xsd:element name="_upuDocumentNatureTaxHTField0" ma:index="15" ma:taxonomy="true" ma:internalName="_upuDocumentNatureTaxHTField0" ma:taxonomyFieldName="_upuDocumentNature" ma:displayName="Document Nature" ma:readOnly="false" ma:default="2;#Conseil d'exploitation Postale (CEP)|ba9833ef-0ddb-48b1-8544-d490f4d7099d" ma:fieldId="{a5541d1b-7266-4590-8e69-d4b2abb866b2}" ma:sspId="69bc324b-1b36-4686-b18c-b894711e76cd" ma:termSetId="fe89e15d-1d0b-45bf-a1db-86bad32a6df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7e8705-a4ae-4853-8462-de550d8ad5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95faaf-731f-4ea9-9530-ece91260d6e6}" ma:internalName="TaxCatchAll" ma:readOnly="false" ma:showField="CatchAllData" ma:web="cb7e8705-a4ae-4853-8462-de550d8ad51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7e8705-a4ae-4853-8462-de550d8ad51f">
      <Value>2</Value>
    </TaxCatchAll>
    <_upuTitleFr xmlns="afcee8e8-a15f-4c1d-9e18-56f3b9d28193">CEP C 1 GSP 2023.2—Doc 7c.Annexe 1</_upuTitleFr>
    <_upuDocumentLanguage xmlns="afcee8e8-a15f-4c1d-9e18-56f3b9d28193">FR</_upuDocumentLanguage>
    <_upuTitleEn xmlns="afcee8e8-a15f-4c1d-9e18-56f3b9d28193">POC C 1 PSG 2023.2—Doc 7c.Annexe 1</_upuTitleEn>
    <_upuDocumentNatureTaxHTField0 xmlns="afcee8e8-a15f-4c1d-9e18-56f3b9d28193">
      <Terms xmlns="http://schemas.microsoft.com/office/infopath/2007/PartnerControls">
        <TermInfo xmlns="http://schemas.microsoft.com/office/infopath/2007/PartnerControls">
          <TermName xmlns="http://schemas.microsoft.com/office/infopath/2007/PartnerControls">Postal Operations Council (POC)</TermName>
          <TermId xmlns="http://schemas.microsoft.com/office/infopath/2007/PartnerControls">ba9833ef-0ddb-48b1-8544-d490f4d7099d</TermId>
        </TermInfo>
      </Terms>
    </_upuDocumentNatureTaxHTField0>
    <_upuSequence xmlns="afcee8e8-a15f-4c1d-9e18-56f3b9d28193">1819</_upuSequence>
  </documentManagement>
</p:properties>
</file>

<file path=customXml/itemProps1.xml><?xml version="1.0" encoding="utf-8"?>
<ds:datastoreItem xmlns:ds="http://schemas.openxmlformats.org/officeDocument/2006/customXml" ds:itemID="{C824A58E-D2EA-48DE-BEEF-8DA3CF86BC4C}">
  <ds:schemaRefs>
    <ds:schemaRef ds:uri="http://schemas.openxmlformats.org/officeDocument/2006/bibliography"/>
  </ds:schemaRefs>
</ds:datastoreItem>
</file>

<file path=customXml/itemProps2.xml><?xml version="1.0" encoding="utf-8"?>
<ds:datastoreItem xmlns:ds="http://schemas.openxmlformats.org/officeDocument/2006/customXml" ds:itemID="{47F7FD3E-FD9E-4483-BB02-3522E4BD2AB3}"/>
</file>

<file path=customXml/itemProps3.xml><?xml version="1.0" encoding="utf-8"?>
<ds:datastoreItem xmlns:ds="http://schemas.openxmlformats.org/officeDocument/2006/customXml" ds:itemID="{85DE7D44-1F87-4EE8-B307-A90EC2F8DD18}"/>
</file>

<file path=customXml/itemProps4.xml><?xml version="1.0" encoding="utf-8"?>
<ds:datastoreItem xmlns:ds="http://schemas.openxmlformats.org/officeDocument/2006/customXml" ds:itemID="{DDC0A679-E00D-47AE-B990-3B0F35A55874}"/>
</file>

<file path=customXml/itemProps5.xml><?xml version="1.0" encoding="utf-8"?>
<ds:datastoreItem xmlns:ds="http://schemas.openxmlformats.org/officeDocument/2006/customXml" ds:itemID="{BC500070-4966-451B-B18F-A8F33A76BD68}"/>
</file>

<file path=docProps/app.xml><?xml version="1.0" encoding="utf-8"?>
<Properties xmlns="http://schemas.openxmlformats.org/officeDocument/2006/extended-properties" xmlns:vt="http://schemas.openxmlformats.org/officeDocument/2006/docPropsVTypes">
  <Template>FR Doc Annexe portrait</Template>
  <TotalTime>34</TotalTime>
  <Pages>3</Pages>
  <Words>1372</Words>
  <Characters>7533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X</vt:lpstr>
    </vt:vector>
  </TitlesOfParts>
  <Company>Union postal universelle (UPU)</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 C 1 PSG 2023.2—Doc 7c.Annexe 1</dc:title>
  <dc:subject/>
  <dc:creator>LUTHY christine</dc:creator>
  <cp:lastModifiedBy>WALTHER david</cp:lastModifiedBy>
  <cp:revision>26</cp:revision>
  <cp:lastPrinted>2009-02-19T13:40:00Z</cp:lastPrinted>
  <dcterms:created xsi:type="dcterms:W3CDTF">2023-07-04T09:18:00Z</dcterms:created>
  <dcterms:modified xsi:type="dcterms:W3CDTF">2023-07-04T10:10:00Z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0x0101007CC4175335484325B3990F07AC566D54003D08DE69A35E0C4EAF83D2DBBDDE0B59</vt:lpwstr>
  </property>
  <property fmtid="{D5CDD505-2E9C-101B-9397-08002B2CF9AE}" pid="3" name="_dlc_DocIdItemGuid">
    <vt:lpwstr>337b9bca-1d97-4bb0-b33e-f018ca50e059</vt:lpwstr>
  </property>
  <property fmtid="{D5CDD505-2E9C-101B-9397-08002B2CF9AE}" pid="4" name="_upuDocumentNature">
    <vt:lpwstr>2;#Postal Operations Council (POC)|ba9833ef-0ddb-48b1-8544-d490f4d7099d</vt:lpwstr>
  </property>
</Properties>
</file>