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D46" w:rsidRPr="00CF3000" w:rsidRDefault="00C06D46" w:rsidP="00BF5DDA">
      <w:pPr>
        <w:pStyle w:val="0Textedebase"/>
        <w:rPr>
          <w:b/>
          <w:bCs/>
          <w:sz w:val="28"/>
          <w:szCs w:val="28"/>
        </w:rPr>
      </w:pPr>
    </w:p>
    <w:p w:rsidR="00C06D46" w:rsidRPr="00CF3000" w:rsidRDefault="00C06D46" w:rsidP="00BF5DDA">
      <w:pPr>
        <w:pStyle w:val="0Textedebase"/>
        <w:rPr>
          <w:b/>
          <w:bCs/>
          <w:sz w:val="28"/>
          <w:szCs w:val="28"/>
        </w:rPr>
      </w:pPr>
    </w:p>
    <w:p w:rsidR="00C06D46" w:rsidRPr="00CF3000" w:rsidRDefault="00C06D46" w:rsidP="00BF5DDA">
      <w:pPr>
        <w:pStyle w:val="0Textedebase"/>
        <w:rPr>
          <w:b/>
          <w:bCs/>
          <w:sz w:val="28"/>
          <w:szCs w:val="28"/>
        </w:rPr>
      </w:pPr>
    </w:p>
    <w:p w:rsidR="00C06D46" w:rsidRPr="00CF3000" w:rsidRDefault="00C06D46" w:rsidP="00BF5DDA">
      <w:pPr>
        <w:pStyle w:val="0Textedebase"/>
        <w:rPr>
          <w:b/>
          <w:bCs/>
          <w:sz w:val="28"/>
          <w:szCs w:val="28"/>
        </w:rPr>
      </w:pPr>
    </w:p>
    <w:p w:rsidR="00C06D46" w:rsidRPr="00CF3000" w:rsidRDefault="00C06D46" w:rsidP="00BF5DDA">
      <w:pPr>
        <w:pStyle w:val="0Textedebase"/>
        <w:rPr>
          <w:b/>
          <w:bCs/>
          <w:sz w:val="28"/>
          <w:szCs w:val="28"/>
        </w:rPr>
      </w:pPr>
    </w:p>
    <w:p w:rsidR="00C06D46" w:rsidRPr="00CF3000" w:rsidRDefault="00C06D46" w:rsidP="00BF5DDA">
      <w:pPr>
        <w:pStyle w:val="0Textedebase"/>
        <w:rPr>
          <w:b/>
          <w:bCs/>
          <w:sz w:val="28"/>
          <w:szCs w:val="28"/>
        </w:rPr>
      </w:pPr>
    </w:p>
    <w:p w:rsidR="00BF5DDA" w:rsidRPr="00CF3000" w:rsidRDefault="00BF5DDA" w:rsidP="00BF5DDA">
      <w:pPr>
        <w:pStyle w:val="0Textedebase"/>
        <w:rPr>
          <w:b/>
          <w:bCs/>
          <w:sz w:val="32"/>
          <w:szCs w:val="32"/>
        </w:rPr>
      </w:pPr>
      <w:r w:rsidRPr="00CF3000">
        <w:rPr>
          <w:b/>
          <w:bCs/>
          <w:sz w:val="32"/>
          <w:szCs w:val="32"/>
        </w:rPr>
        <w:t xml:space="preserve">Call for projects </w:t>
      </w:r>
    </w:p>
    <w:p w:rsidR="00BF5DDA" w:rsidRPr="00CF3000" w:rsidRDefault="00BF5DDA" w:rsidP="00BF5DDA">
      <w:pPr>
        <w:pStyle w:val="0Textedebase"/>
        <w:rPr>
          <w:b/>
          <w:bCs/>
          <w:sz w:val="28"/>
          <w:szCs w:val="28"/>
        </w:rPr>
      </w:pPr>
    </w:p>
    <w:p w:rsidR="00BF5DDA" w:rsidRPr="00CF3000" w:rsidRDefault="00BF5DDA" w:rsidP="00BF5DDA">
      <w:pPr>
        <w:pStyle w:val="0Textedebase"/>
        <w:rPr>
          <w:b/>
          <w:bCs/>
          <w:sz w:val="28"/>
          <w:szCs w:val="28"/>
        </w:rPr>
      </w:pPr>
    </w:p>
    <w:p w:rsidR="00BF5DDA" w:rsidRPr="00CF3000" w:rsidRDefault="00BF5DDA" w:rsidP="00BF5DDA">
      <w:pPr>
        <w:pStyle w:val="0Textedebase"/>
        <w:rPr>
          <w:b/>
          <w:bCs/>
          <w:sz w:val="32"/>
          <w:szCs w:val="32"/>
        </w:rPr>
      </w:pPr>
      <w:r w:rsidRPr="00CF3000">
        <w:rPr>
          <w:b/>
          <w:bCs/>
          <w:sz w:val="32"/>
          <w:szCs w:val="32"/>
        </w:rPr>
        <w:t>UPU Financial Inclusion Technical Assistance Facility (FITAF)</w:t>
      </w:r>
    </w:p>
    <w:p w:rsidR="00BF5DDA" w:rsidRPr="00CF3000" w:rsidRDefault="00BF5DDA" w:rsidP="00BF5DDA">
      <w:pPr>
        <w:pStyle w:val="0Textedebase"/>
        <w:rPr>
          <w:b/>
          <w:bCs/>
          <w:sz w:val="28"/>
          <w:szCs w:val="28"/>
        </w:rPr>
      </w:pPr>
    </w:p>
    <w:p w:rsidR="00BF5DDA" w:rsidRPr="00CF3000" w:rsidRDefault="00BF5DDA" w:rsidP="00BF5DDA">
      <w:pPr>
        <w:pStyle w:val="0Textedebase"/>
        <w:rPr>
          <w:b/>
          <w:bCs/>
          <w:sz w:val="28"/>
          <w:szCs w:val="28"/>
        </w:rPr>
      </w:pPr>
    </w:p>
    <w:p w:rsidR="00BF5DDA" w:rsidRPr="00CF3000" w:rsidRDefault="00BF5DDA" w:rsidP="00BF5DDA">
      <w:pPr>
        <w:pStyle w:val="0Textedebase"/>
        <w:rPr>
          <w:b/>
          <w:bCs/>
          <w:sz w:val="32"/>
          <w:szCs w:val="32"/>
        </w:rPr>
      </w:pPr>
      <w:r w:rsidRPr="00CF3000">
        <w:rPr>
          <w:b/>
          <w:bCs/>
          <w:sz w:val="32"/>
          <w:szCs w:val="32"/>
        </w:rPr>
        <w:t>Leveraging digitization of postal financial services</w:t>
      </w:r>
      <w:r w:rsidR="00C06D46" w:rsidRPr="00CF3000">
        <w:rPr>
          <w:b/>
          <w:bCs/>
          <w:sz w:val="32"/>
          <w:szCs w:val="32"/>
        </w:rPr>
        <w:t xml:space="preserve"> to advance financial inclusion</w:t>
      </w:r>
    </w:p>
    <w:p w:rsidR="00BF5DDA" w:rsidRPr="00CF3000" w:rsidRDefault="00BF5DDA">
      <w:pPr>
        <w:spacing w:line="240" w:lineRule="auto"/>
      </w:pPr>
      <w:r w:rsidRPr="00CF3000">
        <w:br w:type="page"/>
      </w:r>
    </w:p>
    <w:p w:rsidR="00BF5DDA" w:rsidRPr="00CF3000" w:rsidRDefault="00BF5DDA" w:rsidP="00BF5DDA">
      <w:pPr>
        <w:pStyle w:val="0Textedebase"/>
        <w:rPr>
          <w:b/>
          <w:bCs/>
        </w:rPr>
      </w:pPr>
      <w:r w:rsidRPr="00CF3000">
        <w:rPr>
          <w:b/>
          <w:bCs/>
        </w:rPr>
        <w:lastRenderedPageBreak/>
        <w:t>Table of contents</w:t>
      </w:r>
    </w:p>
    <w:p w:rsidR="00BF5DDA" w:rsidRPr="00CF3000" w:rsidRDefault="00BF5DDA" w:rsidP="00BF5DDA">
      <w:pPr>
        <w:pStyle w:val="0Textedebase"/>
        <w:rPr>
          <w:b/>
          <w:bCs/>
        </w:rPr>
      </w:pPr>
    </w:p>
    <w:p w:rsidR="00BF5DDA" w:rsidRPr="00CF3000" w:rsidRDefault="00BF5DDA" w:rsidP="00BF5DDA">
      <w:pPr>
        <w:pStyle w:val="0Textedebase"/>
      </w:pPr>
      <w:r w:rsidRPr="00CF3000">
        <w:t>1</w:t>
      </w:r>
      <w:r w:rsidRPr="00CF3000">
        <w:tab/>
        <w:t>Background</w:t>
      </w:r>
    </w:p>
    <w:p w:rsidR="00BF5DDA" w:rsidRPr="00CF3000" w:rsidRDefault="00BF5DDA" w:rsidP="00BF5DDA">
      <w:pPr>
        <w:pStyle w:val="0Textedebase"/>
      </w:pPr>
    </w:p>
    <w:p w:rsidR="00BF5DDA" w:rsidRPr="00CF3000" w:rsidRDefault="00BF5DDA" w:rsidP="00BF5DDA">
      <w:pPr>
        <w:pStyle w:val="0Textedebase"/>
      </w:pPr>
      <w:r w:rsidRPr="00CF3000">
        <w:t>2</w:t>
      </w:r>
      <w:r w:rsidRPr="00CF3000">
        <w:tab/>
        <w:t>Objectives and scope of eligible projects</w:t>
      </w:r>
    </w:p>
    <w:p w:rsidR="00BF5DDA" w:rsidRPr="00CF3000" w:rsidRDefault="00BF5DDA" w:rsidP="00BF5DDA">
      <w:pPr>
        <w:pStyle w:val="0Textedebase"/>
      </w:pPr>
    </w:p>
    <w:p w:rsidR="00BF5DDA" w:rsidRPr="00CF3000" w:rsidRDefault="00BF5DDA" w:rsidP="00BF5DDA">
      <w:pPr>
        <w:pStyle w:val="0Textedebase"/>
      </w:pPr>
      <w:r w:rsidRPr="00CF3000">
        <w:t>3</w:t>
      </w:r>
      <w:r w:rsidRPr="00CF3000">
        <w:tab/>
        <w:t xml:space="preserve">Evaluation and selection of proposals </w:t>
      </w:r>
    </w:p>
    <w:p w:rsidR="00BF5DDA" w:rsidRPr="00CF3000" w:rsidRDefault="00BF5DDA" w:rsidP="00BF5DDA">
      <w:pPr>
        <w:pStyle w:val="0Textedebase"/>
      </w:pPr>
    </w:p>
    <w:p w:rsidR="00BF5DDA" w:rsidRPr="00CF3000" w:rsidRDefault="00BF5DDA" w:rsidP="00BF5DDA">
      <w:pPr>
        <w:pStyle w:val="0Textedebase"/>
      </w:pPr>
      <w:r w:rsidRPr="00CF3000">
        <w:t>4</w:t>
      </w:r>
      <w:r w:rsidRPr="00CF3000">
        <w:tab/>
        <w:t xml:space="preserve">Financing principles </w:t>
      </w:r>
    </w:p>
    <w:p w:rsidR="00BF5DDA" w:rsidRPr="00CF3000" w:rsidRDefault="00BF5DDA" w:rsidP="00BF5DDA">
      <w:pPr>
        <w:pStyle w:val="0Textedebase"/>
      </w:pPr>
    </w:p>
    <w:p w:rsidR="00BF5DDA" w:rsidRPr="00CF3000" w:rsidRDefault="00BF5DDA" w:rsidP="00BF5DDA">
      <w:pPr>
        <w:pStyle w:val="0Textedebase"/>
      </w:pPr>
      <w:r w:rsidRPr="00CF3000">
        <w:t>5</w:t>
      </w:r>
      <w:r w:rsidRPr="00CF3000">
        <w:tab/>
        <w:t>Application procedure</w:t>
      </w:r>
    </w:p>
    <w:p w:rsidR="00BF5DDA" w:rsidRPr="00CF3000" w:rsidRDefault="00BF5DDA" w:rsidP="00BF5DDA">
      <w:pPr>
        <w:pStyle w:val="0Textedebase"/>
      </w:pPr>
    </w:p>
    <w:p w:rsidR="00BF5DDA" w:rsidRPr="00CF3000" w:rsidRDefault="00BF5DDA" w:rsidP="00BF5DDA">
      <w:pPr>
        <w:pStyle w:val="0Textedebase"/>
      </w:pPr>
    </w:p>
    <w:p w:rsidR="00BF5DDA" w:rsidRPr="00CF3000" w:rsidRDefault="00BF5DDA" w:rsidP="00BF5DDA">
      <w:pPr>
        <w:pStyle w:val="0Textedebase"/>
      </w:pPr>
      <w:r w:rsidRPr="00CF3000">
        <w:t>Annexes:</w:t>
      </w:r>
    </w:p>
    <w:p w:rsidR="00BF5DDA" w:rsidRPr="00CF3000" w:rsidRDefault="00BF5DDA" w:rsidP="00846594">
      <w:pPr>
        <w:pStyle w:val="0Textedebase"/>
        <w:spacing w:before="120"/>
      </w:pPr>
      <w:r w:rsidRPr="00CF3000">
        <w:t xml:space="preserve">Annex 1: </w:t>
      </w:r>
      <w:r w:rsidR="00846594" w:rsidRPr="00CF3000">
        <w:t>Scope of FITAF projects</w:t>
      </w:r>
    </w:p>
    <w:p w:rsidR="00BF5DDA" w:rsidRPr="00CF3000" w:rsidRDefault="00BF5DDA" w:rsidP="00BF5DDA">
      <w:pPr>
        <w:pStyle w:val="0Textedebase"/>
      </w:pPr>
      <w:r w:rsidRPr="00CF3000">
        <w:t>Annex 2: Project proposal form</w:t>
      </w:r>
    </w:p>
    <w:p w:rsidR="00BF5DDA" w:rsidRPr="00CF3000" w:rsidRDefault="00BF5DDA" w:rsidP="00BF5DDA">
      <w:pPr>
        <w:pStyle w:val="0Textedebase"/>
      </w:pPr>
      <w:r w:rsidRPr="00CF3000">
        <w:t xml:space="preserve">Annex 3: Project budget form </w:t>
      </w:r>
    </w:p>
    <w:p w:rsidR="00BF5DDA" w:rsidRPr="00CF3000" w:rsidRDefault="00BF5DDA" w:rsidP="00BF5DDA">
      <w:pPr>
        <w:pStyle w:val="0Textedebase"/>
      </w:pPr>
    </w:p>
    <w:p w:rsidR="00BF5DDA" w:rsidRPr="00CF3000" w:rsidRDefault="00BF5DDA" w:rsidP="00BF5DDA">
      <w:pPr>
        <w:pStyle w:val="0Textedebase"/>
      </w:pPr>
    </w:p>
    <w:p w:rsidR="00BF5DDA" w:rsidRPr="00CF3000" w:rsidRDefault="00BF5DDA">
      <w:pPr>
        <w:spacing w:line="240" w:lineRule="auto"/>
      </w:pPr>
      <w:r w:rsidRPr="00CF3000">
        <w:br w:type="page"/>
      </w:r>
    </w:p>
    <w:p w:rsidR="00BF5DDA" w:rsidRPr="00CF3000" w:rsidRDefault="00BF5DDA" w:rsidP="00BF5DDA">
      <w:pPr>
        <w:pStyle w:val="0Textedebase"/>
        <w:rPr>
          <w:b/>
          <w:bCs/>
        </w:rPr>
      </w:pPr>
      <w:r w:rsidRPr="00CF3000">
        <w:rPr>
          <w:b/>
          <w:bCs/>
        </w:rPr>
        <w:lastRenderedPageBreak/>
        <w:t>1</w:t>
      </w:r>
      <w:r w:rsidRPr="00CF3000">
        <w:rPr>
          <w:b/>
          <w:bCs/>
        </w:rPr>
        <w:tab/>
        <w:t>Background</w:t>
      </w:r>
    </w:p>
    <w:p w:rsidR="00BF5DDA" w:rsidRPr="00CF3000" w:rsidRDefault="00BF5DDA" w:rsidP="00BF5DDA">
      <w:pPr>
        <w:pStyle w:val="0Textedebase"/>
      </w:pPr>
    </w:p>
    <w:p w:rsidR="00CF3000" w:rsidRPr="00CF3000" w:rsidRDefault="00CF3000" w:rsidP="00CF3000">
      <w:pPr>
        <w:pStyle w:val="0Textedebase"/>
      </w:pPr>
      <w:r w:rsidRPr="00CF3000">
        <w:t>Posts have traditionally been strong financial inclusion actors, leveraging their vast physical network, proximity to populations and long experience in the provision of financial services – as demonstrated by the 2 billion financial services accounts. In order for Posts to increase their financial inclusion footprint and provide relevant, efficient and impactful financial services, for both individuals and businesses, they will need to embrace digital technologies more rapidly.</w:t>
      </w:r>
    </w:p>
    <w:p w:rsidR="00CF3000" w:rsidRPr="00CF3000" w:rsidRDefault="00CF3000" w:rsidP="00CF3000">
      <w:pPr>
        <w:pStyle w:val="0Textedebase"/>
      </w:pPr>
    </w:p>
    <w:p w:rsidR="00CF3000" w:rsidRPr="00CF3000" w:rsidRDefault="00CF3000" w:rsidP="00CF3000">
      <w:pPr>
        <w:pStyle w:val="0Textedebase"/>
      </w:pPr>
      <w:r w:rsidRPr="00CF3000">
        <w:t xml:space="preserve">To help address this pressing need, the Universal Postal Union, in partnership with the Bill &amp; Melinda Gates Foundation and Visa Inc., has established the Financial Inclusion Technical Assistance Facility (FITAF) to support Posts in their digital journey, which can often be complex and require significant financial investments. </w:t>
      </w:r>
    </w:p>
    <w:p w:rsidR="00CF3000" w:rsidRPr="00CF3000" w:rsidRDefault="00CF3000" w:rsidP="00CF3000">
      <w:pPr>
        <w:pStyle w:val="0Textedebase"/>
      </w:pPr>
    </w:p>
    <w:p w:rsidR="00CF3000" w:rsidRPr="00CF3000" w:rsidRDefault="00CF3000" w:rsidP="00CF3000">
      <w:pPr>
        <w:pStyle w:val="0Textedebase"/>
      </w:pPr>
    </w:p>
    <w:p w:rsidR="00CF3000" w:rsidRPr="00CF3000" w:rsidRDefault="00CF3000" w:rsidP="00CF3000">
      <w:pPr>
        <w:pStyle w:val="0Textedebase"/>
        <w:rPr>
          <w:b/>
          <w:bCs/>
        </w:rPr>
      </w:pPr>
      <w:r w:rsidRPr="00CF3000">
        <w:rPr>
          <w:b/>
          <w:bCs/>
        </w:rPr>
        <w:t>2</w:t>
      </w:r>
      <w:r w:rsidRPr="00CF3000">
        <w:rPr>
          <w:b/>
          <w:bCs/>
        </w:rPr>
        <w:tab/>
        <w:t xml:space="preserve">Objectives and scope of eligible projects  </w:t>
      </w:r>
    </w:p>
    <w:p w:rsidR="00CF3000" w:rsidRPr="00CF3000" w:rsidRDefault="00CF3000" w:rsidP="00CF3000">
      <w:pPr>
        <w:pStyle w:val="0Textedebase"/>
      </w:pPr>
    </w:p>
    <w:p w:rsidR="00CF3000" w:rsidRPr="00CF3000" w:rsidRDefault="00CF3000" w:rsidP="00CF3000">
      <w:pPr>
        <w:pStyle w:val="0Textedebase"/>
      </w:pPr>
      <w:r w:rsidRPr="00CF3000">
        <w:t>FITAF will fund proposals that, in the first place, meet the following two main objectives:</w:t>
      </w:r>
    </w:p>
    <w:p w:rsidR="00CF3000" w:rsidRPr="00CF3000" w:rsidRDefault="00CF3000" w:rsidP="00CF3000">
      <w:pPr>
        <w:pStyle w:val="1Premierretrait"/>
        <w:numPr>
          <w:ilvl w:val="0"/>
          <w:numId w:val="4"/>
        </w:numPr>
        <w:ind w:left="567" w:hanging="567"/>
        <w:rPr>
          <w:lang w:val="en-GB"/>
        </w:rPr>
      </w:pPr>
      <w:r w:rsidRPr="00CF3000">
        <w:rPr>
          <w:lang w:val="en-GB"/>
        </w:rPr>
        <w:t>The project will improve the level of digitization of the financial services offered by the Post.</w:t>
      </w:r>
    </w:p>
    <w:p w:rsidR="00CF3000" w:rsidRPr="00CF3000" w:rsidRDefault="00CF3000" w:rsidP="00CF3000">
      <w:pPr>
        <w:pStyle w:val="1Premierretrait"/>
        <w:numPr>
          <w:ilvl w:val="0"/>
          <w:numId w:val="4"/>
        </w:numPr>
        <w:ind w:left="567" w:hanging="567"/>
        <w:rPr>
          <w:lang w:val="en-GB"/>
        </w:rPr>
      </w:pPr>
      <w:r w:rsidRPr="00CF3000">
        <w:rPr>
          <w:lang w:val="en-GB"/>
        </w:rPr>
        <w:t xml:space="preserve">The project will promote financial inclusion by allowing the Post </w:t>
      </w:r>
      <w:proofErr w:type="gramStart"/>
      <w:r w:rsidRPr="00CF3000">
        <w:rPr>
          <w:lang w:val="en-GB"/>
        </w:rPr>
        <w:t>to better serve</w:t>
      </w:r>
      <w:proofErr w:type="gramEnd"/>
      <w:r w:rsidRPr="00CF3000">
        <w:rPr>
          <w:lang w:val="en-GB"/>
        </w:rPr>
        <w:t xml:space="preserve"> low-income populations and small businesses.</w:t>
      </w:r>
    </w:p>
    <w:p w:rsidR="00CF3000" w:rsidRPr="00CF3000" w:rsidRDefault="00CF3000" w:rsidP="00CF3000">
      <w:pPr>
        <w:pStyle w:val="0Textedebase"/>
      </w:pPr>
    </w:p>
    <w:p w:rsidR="00CF3000" w:rsidRPr="00CF3000" w:rsidRDefault="00CF3000" w:rsidP="00CF3000">
      <w:pPr>
        <w:pStyle w:val="0Textedebase"/>
      </w:pPr>
      <w:r w:rsidRPr="00CF3000">
        <w:t>In line with these two objectives, FITAF will support projects with digitization activities that fall within the four categories of activities identified below:</w:t>
      </w:r>
    </w:p>
    <w:p w:rsidR="00CF3000" w:rsidRPr="00CF3000" w:rsidRDefault="00CF3000" w:rsidP="00CF3000">
      <w:pPr>
        <w:pStyle w:val="1Premierretrait"/>
        <w:numPr>
          <w:ilvl w:val="0"/>
          <w:numId w:val="5"/>
        </w:numPr>
        <w:ind w:left="0" w:firstLine="0"/>
        <w:rPr>
          <w:lang w:val="en-GB"/>
        </w:rPr>
      </w:pPr>
      <w:r w:rsidRPr="00CF3000">
        <w:rPr>
          <w:lang w:val="en-GB"/>
        </w:rPr>
        <w:t>Development of a digital financial services (DFS) strategy;</w:t>
      </w:r>
    </w:p>
    <w:p w:rsidR="00CF3000" w:rsidRPr="00CF3000" w:rsidRDefault="00CF3000" w:rsidP="00CF3000">
      <w:pPr>
        <w:pStyle w:val="1Premierretrait"/>
        <w:numPr>
          <w:ilvl w:val="0"/>
          <w:numId w:val="5"/>
        </w:numPr>
        <w:ind w:left="0" w:firstLine="0"/>
        <w:rPr>
          <w:lang w:val="en-GB"/>
        </w:rPr>
      </w:pPr>
      <w:r w:rsidRPr="00CF3000">
        <w:rPr>
          <w:lang w:val="en-GB"/>
        </w:rPr>
        <w:t>Provision of DFS as an agent, in partnership or through own products;</w:t>
      </w:r>
    </w:p>
    <w:p w:rsidR="00CF3000" w:rsidRPr="00CF3000" w:rsidRDefault="00CF3000" w:rsidP="00CF3000">
      <w:pPr>
        <w:pStyle w:val="1Premierretrait"/>
        <w:numPr>
          <w:ilvl w:val="0"/>
          <w:numId w:val="5"/>
        </w:numPr>
        <w:ind w:left="0" w:firstLine="0"/>
        <w:rPr>
          <w:lang w:val="en-GB"/>
        </w:rPr>
      </w:pPr>
      <w:r w:rsidRPr="00CF3000">
        <w:rPr>
          <w:lang w:val="en-GB"/>
        </w:rPr>
        <w:t>Improvement and diversification of current DFS offerings;</w:t>
      </w:r>
    </w:p>
    <w:p w:rsidR="00CF3000" w:rsidRPr="00CF3000" w:rsidRDefault="00CF3000" w:rsidP="00CF3000">
      <w:pPr>
        <w:pStyle w:val="1Premierretrait"/>
        <w:numPr>
          <w:ilvl w:val="0"/>
          <w:numId w:val="5"/>
        </w:numPr>
        <w:ind w:left="0" w:firstLine="0"/>
        <w:rPr>
          <w:lang w:val="en-GB"/>
        </w:rPr>
      </w:pPr>
      <w:r w:rsidRPr="00CF3000">
        <w:rPr>
          <w:lang w:val="en-GB"/>
        </w:rPr>
        <w:t>Other (must encompass both financial inclusion and digitization of financial services).</w:t>
      </w:r>
    </w:p>
    <w:p w:rsidR="00CF3000" w:rsidRPr="00CF3000" w:rsidRDefault="00CF3000" w:rsidP="00CF3000">
      <w:pPr>
        <w:pStyle w:val="0Textedebase"/>
      </w:pPr>
    </w:p>
    <w:p w:rsidR="00CF3000" w:rsidRPr="00CF3000" w:rsidRDefault="00CF3000" w:rsidP="00CF3000">
      <w:pPr>
        <w:pStyle w:val="0Textedebase"/>
      </w:pPr>
      <w:r w:rsidRPr="00CF3000">
        <w:t xml:space="preserve">More details on the scope of activities </w:t>
      </w:r>
      <w:proofErr w:type="gramStart"/>
      <w:r w:rsidRPr="00CF3000">
        <w:t>are provided</w:t>
      </w:r>
      <w:proofErr w:type="gramEnd"/>
      <w:r w:rsidRPr="00CF3000">
        <w:t xml:space="preserve"> in Annex 1.</w:t>
      </w:r>
    </w:p>
    <w:p w:rsidR="00CF3000" w:rsidRPr="00CF3000" w:rsidRDefault="00CF3000" w:rsidP="00CF3000">
      <w:pPr>
        <w:pStyle w:val="0Textedebase"/>
      </w:pPr>
    </w:p>
    <w:p w:rsidR="00CF3000" w:rsidRPr="00CF3000" w:rsidRDefault="00CF3000" w:rsidP="00CF3000">
      <w:pPr>
        <w:pStyle w:val="0Textedebase"/>
      </w:pPr>
    </w:p>
    <w:p w:rsidR="00CF3000" w:rsidRPr="00CF3000" w:rsidRDefault="00CF3000" w:rsidP="00CF3000">
      <w:pPr>
        <w:pStyle w:val="0Textedebase"/>
        <w:rPr>
          <w:b/>
          <w:bCs/>
        </w:rPr>
      </w:pPr>
      <w:r w:rsidRPr="00CF3000">
        <w:rPr>
          <w:b/>
          <w:bCs/>
        </w:rPr>
        <w:t>3</w:t>
      </w:r>
      <w:r w:rsidRPr="00CF3000">
        <w:rPr>
          <w:b/>
          <w:bCs/>
        </w:rPr>
        <w:tab/>
        <w:t xml:space="preserve">Evaluation and selection of proposals </w:t>
      </w:r>
    </w:p>
    <w:p w:rsidR="00CF3000" w:rsidRPr="00CF3000" w:rsidRDefault="00CF3000" w:rsidP="00CF3000">
      <w:pPr>
        <w:pStyle w:val="0Textedebase"/>
      </w:pPr>
    </w:p>
    <w:p w:rsidR="00CF3000" w:rsidRPr="00CF3000" w:rsidRDefault="00CF3000" w:rsidP="00CF3000">
      <w:pPr>
        <w:pStyle w:val="0Textedebase"/>
      </w:pPr>
      <w:r w:rsidRPr="00CF3000">
        <w:t xml:space="preserve">A committee composed of UPU experts will review the project proposals. The intent is to ensure that projects meet the FITAF requirements and that Posts and partners have the capacity to implement them. The UPU experts will also look at the institutional and market readiness, as well as the anticipated impact. All proposals received </w:t>
      </w:r>
      <w:proofErr w:type="gramStart"/>
      <w:r w:rsidRPr="00CF3000">
        <w:t>will be assessed</w:t>
      </w:r>
      <w:proofErr w:type="gramEnd"/>
      <w:r w:rsidRPr="00CF3000">
        <w:t xml:space="preserve"> based on criteria established by the UPU, including the following:</w:t>
      </w:r>
    </w:p>
    <w:p w:rsidR="00CF3000" w:rsidRPr="00CF3000" w:rsidRDefault="00CF3000" w:rsidP="00CF3000">
      <w:pPr>
        <w:pStyle w:val="1Premierretrait"/>
        <w:rPr>
          <w:lang w:val="en-GB"/>
        </w:rPr>
      </w:pPr>
      <w:r w:rsidRPr="00CF3000">
        <w:rPr>
          <w:lang w:val="en-GB"/>
        </w:rPr>
        <w:t>Existence of an enabling legal and regulatory framework for the Post to offer financial services:</w:t>
      </w:r>
    </w:p>
    <w:p w:rsidR="00CF3000" w:rsidRPr="00CF3000" w:rsidRDefault="00CF3000" w:rsidP="00CF3000">
      <w:pPr>
        <w:pStyle w:val="2Deuximeretrait"/>
        <w:rPr>
          <w:lang w:val="en-GB"/>
        </w:rPr>
      </w:pPr>
      <w:r w:rsidRPr="00CF3000">
        <w:rPr>
          <w:lang w:val="en-GB"/>
        </w:rPr>
        <w:t xml:space="preserve">Legal and regulatory framework has to allow the Post to deliver the financial services that </w:t>
      </w:r>
      <w:proofErr w:type="gramStart"/>
      <w:r w:rsidRPr="00CF3000">
        <w:rPr>
          <w:lang w:val="en-GB"/>
        </w:rPr>
        <w:t>are being proposed</w:t>
      </w:r>
      <w:proofErr w:type="gramEnd"/>
      <w:r w:rsidRPr="00CF3000">
        <w:rPr>
          <w:lang w:val="en-GB"/>
        </w:rPr>
        <w:t>.</w:t>
      </w:r>
    </w:p>
    <w:p w:rsidR="00CF3000" w:rsidRPr="00CF3000" w:rsidRDefault="00CF3000" w:rsidP="00CF3000">
      <w:pPr>
        <w:pStyle w:val="1Premierretrait"/>
        <w:rPr>
          <w:lang w:val="en-GB"/>
        </w:rPr>
      </w:pPr>
      <w:r w:rsidRPr="00CF3000">
        <w:rPr>
          <w:lang w:val="en-GB"/>
        </w:rPr>
        <w:t>Government commitment to foster financial inclusion and alignment of the project with government pri</w:t>
      </w:r>
      <w:r>
        <w:rPr>
          <w:lang w:val="en-GB"/>
        </w:rPr>
        <w:softHyphen/>
      </w:r>
      <w:r w:rsidRPr="00CF3000">
        <w:rPr>
          <w:lang w:val="en-GB"/>
        </w:rPr>
        <w:t>orities:</w:t>
      </w:r>
    </w:p>
    <w:p w:rsidR="00CF3000" w:rsidRPr="00CF3000" w:rsidRDefault="00CF3000" w:rsidP="00CF3000">
      <w:pPr>
        <w:pStyle w:val="2Deuximeretrait"/>
        <w:rPr>
          <w:lang w:val="en-GB"/>
        </w:rPr>
      </w:pPr>
      <w:r w:rsidRPr="00CF3000">
        <w:rPr>
          <w:lang w:val="en-GB"/>
        </w:rPr>
        <w:t xml:space="preserve">Commitment and alignment need to </w:t>
      </w:r>
      <w:proofErr w:type="gramStart"/>
      <w:r w:rsidRPr="00CF3000">
        <w:rPr>
          <w:lang w:val="en-GB"/>
        </w:rPr>
        <w:t>be expressed</w:t>
      </w:r>
      <w:proofErr w:type="gramEnd"/>
      <w:r w:rsidRPr="00CF3000">
        <w:rPr>
          <w:lang w:val="en-GB"/>
        </w:rPr>
        <w:t xml:space="preserve"> in an official document, e.g. national financial inclusion strategy or poverty reduction strategy document.</w:t>
      </w:r>
    </w:p>
    <w:p w:rsidR="00CF3000" w:rsidRPr="00CF3000" w:rsidRDefault="00CF3000" w:rsidP="00CF3000">
      <w:pPr>
        <w:pStyle w:val="1Premierretrait"/>
        <w:rPr>
          <w:lang w:val="en-GB"/>
        </w:rPr>
      </w:pPr>
      <w:r w:rsidRPr="00CF3000">
        <w:rPr>
          <w:lang w:val="en-GB"/>
        </w:rPr>
        <w:t>Willingness of the postal operator’s top management to support the FITAF project:</w:t>
      </w:r>
    </w:p>
    <w:p w:rsidR="00CF3000" w:rsidRPr="00CF3000" w:rsidRDefault="00CF3000" w:rsidP="00CF3000">
      <w:pPr>
        <w:pStyle w:val="2Deuximeretrait"/>
        <w:rPr>
          <w:lang w:val="en-GB"/>
        </w:rPr>
      </w:pPr>
      <w:r w:rsidRPr="00CF3000">
        <w:rPr>
          <w:lang w:val="en-GB"/>
        </w:rPr>
        <w:t>Institutional support from the Post’s executive management team, looking at their level of knowledge of and involvement in the project, as well as the resources they provide to support the project.</w:t>
      </w:r>
    </w:p>
    <w:p w:rsidR="00CF3000" w:rsidRPr="00CF3000" w:rsidRDefault="00CF3000" w:rsidP="00CF3000">
      <w:pPr>
        <w:pStyle w:val="1Premierretrait"/>
        <w:rPr>
          <w:lang w:val="en-GB"/>
        </w:rPr>
      </w:pPr>
      <w:r w:rsidRPr="00CF3000">
        <w:rPr>
          <w:lang w:val="en-GB"/>
        </w:rPr>
        <w:t xml:space="preserve">Relevance of the proposed project in terms of FITAF key objectives: </w:t>
      </w:r>
    </w:p>
    <w:p w:rsidR="00CF3000" w:rsidRPr="00CF3000" w:rsidRDefault="00CF3000" w:rsidP="00CF3000">
      <w:pPr>
        <w:pStyle w:val="2Deuximeretrait"/>
        <w:rPr>
          <w:lang w:val="en-GB"/>
        </w:rPr>
      </w:pPr>
      <w:r w:rsidRPr="00CF3000">
        <w:rPr>
          <w:lang w:val="en-GB"/>
        </w:rPr>
        <w:t>Project must include both a financial inclusion and a digital dimension.</w:t>
      </w:r>
    </w:p>
    <w:p w:rsidR="00CF3000" w:rsidRDefault="00CF3000">
      <w:pPr>
        <w:spacing w:line="240" w:lineRule="auto"/>
        <w:rPr>
          <w:rFonts w:eastAsia="SimSun" w:cs="Mangal"/>
          <w:snapToGrid w:val="0"/>
          <w:lang w:eastAsia="zh-CN"/>
        </w:rPr>
      </w:pPr>
      <w:r>
        <w:br w:type="page"/>
      </w:r>
    </w:p>
    <w:p w:rsidR="00CF3000" w:rsidRPr="00CF3000" w:rsidRDefault="00CF3000" w:rsidP="00CF3000">
      <w:pPr>
        <w:pStyle w:val="1Premierretrait"/>
        <w:rPr>
          <w:lang w:val="en-GB"/>
        </w:rPr>
      </w:pPr>
      <w:r w:rsidRPr="00CF3000">
        <w:rPr>
          <w:lang w:val="en-GB"/>
        </w:rPr>
        <w:lastRenderedPageBreak/>
        <w:t>Capacity of the Post and its technical partners to implement the proposed project in the proposed time</w:t>
      </w:r>
      <w:r>
        <w:rPr>
          <w:lang w:val="en-GB"/>
        </w:rPr>
        <w:softHyphen/>
      </w:r>
      <w:r w:rsidRPr="00CF3000">
        <w:rPr>
          <w:lang w:val="en-GB"/>
        </w:rPr>
        <w:t>line:</w:t>
      </w:r>
    </w:p>
    <w:p w:rsidR="00CF3000" w:rsidRPr="00CF3000" w:rsidRDefault="00CF3000" w:rsidP="00CF3000">
      <w:pPr>
        <w:pStyle w:val="2Deuximeretrait"/>
        <w:rPr>
          <w:lang w:val="en-GB"/>
        </w:rPr>
      </w:pPr>
      <w:r w:rsidRPr="00CF3000">
        <w:rPr>
          <w:lang w:val="en-GB"/>
        </w:rPr>
        <w:t>Current offering of financial services and estimated market share (for accounts, payments, remit</w:t>
      </w:r>
      <w:r>
        <w:rPr>
          <w:lang w:val="en-GB"/>
        </w:rPr>
        <w:softHyphen/>
      </w:r>
      <w:r w:rsidRPr="00CF3000">
        <w:rPr>
          <w:lang w:val="en-GB"/>
        </w:rPr>
        <w:t>tances, and in general all products that are relevant to the proposed project);</w:t>
      </w:r>
    </w:p>
    <w:p w:rsidR="00CF3000" w:rsidRPr="00CF3000" w:rsidRDefault="00CF3000" w:rsidP="00CF3000">
      <w:pPr>
        <w:pStyle w:val="2Deuximeretrait"/>
        <w:rPr>
          <w:lang w:val="en-GB"/>
        </w:rPr>
      </w:pPr>
      <w:r w:rsidRPr="00CF3000">
        <w:rPr>
          <w:lang w:val="en-GB"/>
        </w:rPr>
        <w:t>Experience in the deployment of similar projects and solutions;</w:t>
      </w:r>
    </w:p>
    <w:p w:rsidR="00CF3000" w:rsidRPr="00CF3000" w:rsidRDefault="00CF3000" w:rsidP="00CF3000">
      <w:pPr>
        <w:pStyle w:val="2Deuximeretrait"/>
        <w:rPr>
          <w:lang w:val="en-GB"/>
        </w:rPr>
      </w:pPr>
      <w:r w:rsidRPr="00CF3000">
        <w:rPr>
          <w:lang w:val="en-GB"/>
        </w:rPr>
        <w:t>Existence of a clear plan to implement the project, with a realistic time frame and a clear vision on how it will be led;</w:t>
      </w:r>
    </w:p>
    <w:p w:rsidR="00CF3000" w:rsidRPr="00CF3000" w:rsidRDefault="00CF3000" w:rsidP="00CF3000">
      <w:pPr>
        <w:pStyle w:val="2Deuximeretrait"/>
        <w:rPr>
          <w:lang w:val="en-GB"/>
        </w:rPr>
      </w:pPr>
      <w:r w:rsidRPr="00CF3000">
        <w:rPr>
          <w:lang w:val="en-GB"/>
        </w:rPr>
        <w:t>IT infrastructure and technical capacity.</w:t>
      </w:r>
    </w:p>
    <w:p w:rsidR="00CF3000" w:rsidRPr="00CF3000" w:rsidRDefault="00CF3000" w:rsidP="00CF3000">
      <w:pPr>
        <w:pStyle w:val="1Premierretrait"/>
        <w:rPr>
          <w:lang w:val="en-GB"/>
        </w:rPr>
      </w:pPr>
      <w:r w:rsidRPr="00CF3000">
        <w:rPr>
          <w:lang w:val="en-GB"/>
        </w:rPr>
        <w:t>Clearly identified project team and resources to implement the project:</w:t>
      </w:r>
    </w:p>
    <w:p w:rsidR="00CF3000" w:rsidRPr="00CF3000" w:rsidRDefault="00CF3000" w:rsidP="00CF3000">
      <w:pPr>
        <w:pStyle w:val="2Deuximeretrait"/>
        <w:rPr>
          <w:lang w:val="en-GB"/>
        </w:rPr>
      </w:pPr>
      <w:r w:rsidRPr="00CF3000">
        <w:rPr>
          <w:lang w:val="en-GB"/>
        </w:rPr>
        <w:t>List of team members with their respective areas of expertise;</w:t>
      </w:r>
    </w:p>
    <w:p w:rsidR="00CF3000" w:rsidRPr="00CF3000" w:rsidRDefault="00CF3000" w:rsidP="00CF3000">
      <w:pPr>
        <w:pStyle w:val="2Deuximeretrait"/>
        <w:rPr>
          <w:lang w:val="en-GB"/>
        </w:rPr>
      </w:pPr>
      <w:r w:rsidRPr="00CF3000">
        <w:rPr>
          <w:lang w:val="en-GB"/>
        </w:rPr>
        <w:t>Budget identified to implement the project.</w:t>
      </w:r>
    </w:p>
    <w:p w:rsidR="00CF3000" w:rsidRPr="00CF3000" w:rsidRDefault="00CF3000" w:rsidP="00CF3000">
      <w:pPr>
        <w:pStyle w:val="1Premierretrait"/>
        <w:rPr>
          <w:lang w:val="en-GB"/>
        </w:rPr>
      </w:pPr>
      <w:r w:rsidRPr="00CF3000">
        <w:rPr>
          <w:lang w:val="en-GB"/>
        </w:rPr>
        <w:t>Willingness to co-fund technical assistance (20% of direct costs)</w:t>
      </w:r>
      <w:r w:rsidR="002264F8">
        <w:rPr>
          <w:lang w:val="en-GB"/>
        </w:rPr>
        <w:t>;</w:t>
      </w:r>
    </w:p>
    <w:p w:rsidR="00CF3000" w:rsidRPr="00CF3000" w:rsidRDefault="00CF3000" w:rsidP="00CF3000">
      <w:pPr>
        <w:pStyle w:val="1Premierretrait"/>
        <w:rPr>
          <w:lang w:val="en-GB"/>
        </w:rPr>
      </w:pPr>
      <w:r w:rsidRPr="00CF3000">
        <w:rPr>
          <w:lang w:val="en-GB"/>
        </w:rPr>
        <w:t>Innovation potential of the project, e.g.:</w:t>
      </w:r>
    </w:p>
    <w:p w:rsidR="00CF3000" w:rsidRPr="00CF3000" w:rsidRDefault="00CF3000" w:rsidP="00CF3000">
      <w:pPr>
        <w:pStyle w:val="2Deuximeretrait"/>
        <w:rPr>
          <w:lang w:val="en-GB"/>
        </w:rPr>
      </w:pPr>
      <w:r w:rsidRPr="00CF3000">
        <w:rPr>
          <w:lang w:val="en-GB"/>
        </w:rPr>
        <w:t>Innovativeness of technologies to be used in the project;</w:t>
      </w:r>
    </w:p>
    <w:p w:rsidR="00CF3000" w:rsidRPr="00CF3000" w:rsidRDefault="00CF3000" w:rsidP="00CF3000">
      <w:pPr>
        <w:pStyle w:val="2Deuximeretrait"/>
        <w:rPr>
          <w:lang w:val="en-GB"/>
        </w:rPr>
      </w:pPr>
      <w:r w:rsidRPr="00CF3000">
        <w:rPr>
          <w:lang w:val="en-GB"/>
        </w:rPr>
        <w:t>Innovativeness of business models to be deployed;</w:t>
      </w:r>
    </w:p>
    <w:p w:rsidR="00CF3000" w:rsidRPr="00CF3000" w:rsidRDefault="00CF3000" w:rsidP="00CF3000">
      <w:pPr>
        <w:pStyle w:val="2Deuximeretrait"/>
        <w:rPr>
          <w:lang w:val="en-GB"/>
        </w:rPr>
      </w:pPr>
      <w:r w:rsidRPr="00CF3000">
        <w:rPr>
          <w:lang w:val="en-GB"/>
        </w:rPr>
        <w:t xml:space="preserve">New distribution channels to </w:t>
      </w:r>
      <w:proofErr w:type="gramStart"/>
      <w:r w:rsidRPr="00CF3000">
        <w:rPr>
          <w:lang w:val="en-GB"/>
        </w:rPr>
        <w:t>be adopted</w:t>
      </w:r>
      <w:proofErr w:type="gramEnd"/>
      <w:r w:rsidRPr="00CF3000">
        <w:rPr>
          <w:lang w:val="en-GB"/>
        </w:rPr>
        <w:t>.</w:t>
      </w:r>
    </w:p>
    <w:p w:rsidR="00CF3000" w:rsidRPr="00CF3000" w:rsidRDefault="00CF3000" w:rsidP="00CF3000">
      <w:pPr>
        <w:pStyle w:val="1Premierretrait"/>
        <w:rPr>
          <w:lang w:val="en-GB"/>
        </w:rPr>
      </w:pPr>
      <w:r w:rsidRPr="00CF3000">
        <w:rPr>
          <w:lang w:val="en-GB"/>
        </w:rPr>
        <w:t>Potential financial inclusion impact of the project:</w:t>
      </w:r>
    </w:p>
    <w:p w:rsidR="00CF3000" w:rsidRPr="00CF3000" w:rsidRDefault="00CF3000" w:rsidP="00CF3000">
      <w:pPr>
        <w:pStyle w:val="2Deuximeretrait"/>
        <w:rPr>
          <w:lang w:val="en-GB"/>
        </w:rPr>
      </w:pPr>
      <w:r w:rsidRPr="00CF3000">
        <w:rPr>
          <w:lang w:val="en-GB"/>
        </w:rPr>
        <w:t>Targets in terms of number and profile of clients and market share;</w:t>
      </w:r>
    </w:p>
    <w:p w:rsidR="00CF3000" w:rsidRPr="00CF3000" w:rsidRDefault="00CF3000" w:rsidP="00CF3000">
      <w:pPr>
        <w:pStyle w:val="2Deuximeretrait"/>
        <w:rPr>
          <w:lang w:val="en-GB"/>
        </w:rPr>
      </w:pPr>
      <w:r w:rsidRPr="00CF3000">
        <w:rPr>
          <w:lang w:val="en-GB"/>
        </w:rPr>
        <w:t xml:space="preserve">Comparison between targets and current market situation; </w:t>
      </w:r>
    </w:p>
    <w:p w:rsidR="00CF3000" w:rsidRPr="00CF3000" w:rsidRDefault="00CF3000" w:rsidP="00CF3000">
      <w:pPr>
        <w:pStyle w:val="2Deuximeretrait"/>
        <w:rPr>
          <w:lang w:val="en-GB"/>
        </w:rPr>
      </w:pPr>
      <w:r w:rsidRPr="00CF3000">
        <w:rPr>
          <w:lang w:val="en-GB"/>
        </w:rPr>
        <w:t>Expected contribution to financial inclusion in the country.</w:t>
      </w:r>
    </w:p>
    <w:p w:rsidR="00CF3000" w:rsidRPr="00CF3000" w:rsidRDefault="00CF3000" w:rsidP="00CF3000">
      <w:pPr>
        <w:pStyle w:val="0Textedebase"/>
      </w:pPr>
    </w:p>
    <w:p w:rsidR="00CF3000" w:rsidRPr="00CF3000" w:rsidRDefault="00CF3000" w:rsidP="00CF3000">
      <w:pPr>
        <w:pStyle w:val="0Textedebase"/>
      </w:pPr>
    </w:p>
    <w:p w:rsidR="00CF3000" w:rsidRPr="00CF3000" w:rsidRDefault="00CF3000" w:rsidP="00CF3000">
      <w:pPr>
        <w:pStyle w:val="0Textedebase"/>
        <w:rPr>
          <w:b/>
          <w:bCs/>
        </w:rPr>
      </w:pPr>
      <w:r w:rsidRPr="00CF3000">
        <w:rPr>
          <w:b/>
          <w:bCs/>
        </w:rPr>
        <w:t>4</w:t>
      </w:r>
      <w:r w:rsidRPr="00CF3000">
        <w:rPr>
          <w:b/>
          <w:bCs/>
        </w:rPr>
        <w:tab/>
        <w:t>Financing principles</w:t>
      </w:r>
    </w:p>
    <w:p w:rsidR="00CF3000" w:rsidRPr="00CF3000" w:rsidRDefault="00CF3000" w:rsidP="00CF3000">
      <w:pPr>
        <w:pStyle w:val="0Textedebase"/>
      </w:pPr>
    </w:p>
    <w:p w:rsidR="00CF3000" w:rsidRPr="00CF3000" w:rsidRDefault="00CF3000" w:rsidP="00CF3000">
      <w:pPr>
        <w:pStyle w:val="0Textedebase"/>
        <w:rPr>
          <w:i/>
          <w:iCs/>
        </w:rPr>
      </w:pPr>
      <w:r w:rsidRPr="00CF3000">
        <w:rPr>
          <w:i/>
          <w:iCs/>
        </w:rPr>
        <w:t xml:space="preserve">Financial allocation and implementation period </w:t>
      </w:r>
    </w:p>
    <w:p w:rsidR="00CF3000" w:rsidRPr="00CF3000" w:rsidRDefault="00CF3000" w:rsidP="00CF3000">
      <w:pPr>
        <w:pStyle w:val="0Textedebase"/>
      </w:pPr>
    </w:p>
    <w:p w:rsidR="00CF3000" w:rsidRPr="00CF3000" w:rsidRDefault="00CF3000" w:rsidP="00CF3000">
      <w:pPr>
        <w:pStyle w:val="0Textedebase"/>
      </w:pPr>
      <w:r w:rsidRPr="00CF3000">
        <w:lastRenderedPageBreak/>
        <w:t>Each grant under FITAF will be a maximum of 100,000 USD. The project implementation period should not exceed 18 months.</w:t>
      </w:r>
    </w:p>
    <w:p w:rsidR="00CF3000" w:rsidRPr="00CF3000" w:rsidRDefault="00CF3000" w:rsidP="00CF3000">
      <w:pPr>
        <w:pStyle w:val="0Textedebase"/>
      </w:pPr>
    </w:p>
    <w:p w:rsidR="00CF3000" w:rsidRPr="00CF3000" w:rsidRDefault="00CF3000" w:rsidP="00CF3000">
      <w:pPr>
        <w:pStyle w:val="0Textedebase"/>
        <w:rPr>
          <w:i/>
          <w:iCs/>
        </w:rPr>
      </w:pPr>
      <w:r w:rsidRPr="00CF3000">
        <w:rPr>
          <w:i/>
          <w:iCs/>
        </w:rPr>
        <w:t>Counterpart financing</w:t>
      </w:r>
    </w:p>
    <w:p w:rsidR="00CF3000" w:rsidRPr="00CF3000" w:rsidRDefault="00CF3000" w:rsidP="00CF3000">
      <w:pPr>
        <w:pStyle w:val="0Textedebase"/>
      </w:pPr>
    </w:p>
    <w:p w:rsidR="00CF3000" w:rsidRPr="00CF3000" w:rsidRDefault="00CF3000" w:rsidP="00CF3000">
      <w:pPr>
        <w:pStyle w:val="0Textedebase"/>
      </w:pPr>
      <w:r w:rsidRPr="00CF3000">
        <w:t>Project beneficiaries are responsible for counterpart contributions of at least 20% of the total cost of the project (in cash). Under exceptional circumstances, and when justified, the UPU may consider accepting a lower share of co-funding.</w:t>
      </w:r>
    </w:p>
    <w:p w:rsidR="00CF3000" w:rsidRPr="00CF3000" w:rsidRDefault="00CF3000" w:rsidP="00CF3000">
      <w:pPr>
        <w:pStyle w:val="0Textedebase"/>
      </w:pPr>
    </w:p>
    <w:p w:rsidR="00CF3000" w:rsidRPr="00CF3000" w:rsidRDefault="00CF3000" w:rsidP="00CF3000">
      <w:pPr>
        <w:pStyle w:val="0Textedebase"/>
        <w:rPr>
          <w:i/>
          <w:iCs/>
        </w:rPr>
      </w:pPr>
      <w:r w:rsidRPr="00CF3000">
        <w:rPr>
          <w:i/>
          <w:iCs/>
        </w:rPr>
        <w:t>Eligible expenditures</w:t>
      </w:r>
    </w:p>
    <w:p w:rsidR="00CF3000" w:rsidRPr="00CF3000" w:rsidRDefault="00CF3000" w:rsidP="00CF3000">
      <w:pPr>
        <w:pStyle w:val="0Textedebase"/>
      </w:pPr>
    </w:p>
    <w:p w:rsidR="00CF3000" w:rsidRPr="00CF3000" w:rsidRDefault="00CF3000" w:rsidP="00CF3000">
      <w:pPr>
        <w:pStyle w:val="0Textedebase"/>
      </w:pPr>
      <w:r w:rsidRPr="00CF3000">
        <w:t>Eligible costs covered under FITAF are the following:</w:t>
      </w:r>
    </w:p>
    <w:p w:rsidR="00CF3000" w:rsidRPr="00CF3000" w:rsidRDefault="00CF3000" w:rsidP="00CF3000">
      <w:pPr>
        <w:pStyle w:val="1Premierretrait"/>
        <w:rPr>
          <w:lang w:val="en-GB"/>
        </w:rPr>
      </w:pPr>
      <w:r w:rsidRPr="00CF3000">
        <w:rPr>
          <w:lang w:val="en-GB"/>
        </w:rPr>
        <w:t>Feasibility studies;</w:t>
      </w:r>
    </w:p>
    <w:p w:rsidR="00CF3000" w:rsidRPr="00CF3000" w:rsidRDefault="00CF3000" w:rsidP="00CF3000">
      <w:pPr>
        <w:pStyle w:val="1Premierretrait"/>
        <w:rPr>
          <w:lang w:val="en-GB"/>
        </w:rPr>
      </w:pPr>
      <w:r w:rsidRPr="00CF3000">
        <w:rPr>
          <w:lang w:val="en-GB"/>
        </w:rPr>
        <w:t>Training of postal staff;</w:t>
      </w:r>
    </w:p>
    <w:p w:rsidR="00CF3000" w:rsidRPr="00CF3000" w:rsidRDefault="00CF3000" w:rsidP="00CF3000">
      <w:pPr>
        <w:pStyle w:val="1Premierretrait"/>
        <w:rPr>
          <w:lang w:val="en-GB"/>
        </w:rPr>
      </w:pPr>
      <w:r w:rsidRPr="00CF3000">
        <w:rPr>
          <w:lang w:val="en-GB"/>
        </w:rPr>
        <w:t>Consulting;</w:t>
      </w:r>
    </w:p>
    <w:p w:rsidR="00CF3000" w:rsidRPr="00CF3000" w:rsidRDefault="00CF3000" w:rsidP="00CF3000">
      <w:pPr>
        <w:pStyle w:val="1Premierretrait"/>
        <w:rPr>
          <w:lang w:val="en-GB"/>
        </w:rPr>
      </w:pPr>
      <w:r w:rsidRPr="00CF3000">
        <w:rPr>
          <w:lang w:val="en-GB"/>
        </w:rPr>
        <w:t>Promotional campaigns;</w:t>
      </w:r>
    </w:p>
    <w:p w:rsidR="002658AC" w:rsidRDefault="002658AC" w:rsidP="00CF3000">
      <w:pPr>
        <w:pStyle w:val="1Premierretrait"/>
        <w:rPr>
          <w:lang w:val="en-GB"/>
        </w:rPr>
      </w:pPr>
      <w:r>
        <w:rPr>
          <w:lang w:val="en-GB"/>
        </w:rPr>
        <w:t>Monitoring and evaluation;</w:t>
      </w:r>
    </w:p>
    <w:p w:rsidR="00CF3000" w:rsidRPr="00CF3000" w:rsidRDefault="002658AC" w:rsidP="00CF3000">
      <w:pPr>
        <w:pStyle w:val="1Premierretrait"/>
        <w:rPr>
          <w:lang w:val="en-GB"/>
        </w:rPr>
      </w:pPr>
      <w:r>
        <w:rPr>
          <w:lang w:val="en-GB"/>
        </w:rPr>
        <w:t>Software.</w:t>
      </w:r>
      <w:r w:rsidR="00CF3000" w:rsidRPr="00CF3000">
        <w:rPr>
          <w:lang w:val="en-GB"/>
        </w:rPr>
        <w:t xml:space="preserve"> </w:t>
      </w:r>
    </w:p>
    <w:p w:rsidR="00CF3000" w:rsidRPr="00CF3000" w:rsidRDefault="00CF3000" w:rsidP="00CF3000">
      <w:pPr>
        <w:pStyle w:val="0Textedebase"/>
      </w:pPr>
    </w:p>
    <w:p w:rsidR="00CF3000" w:rsidRPr="00CF3000" w:rsidRDefault="00CF3000" w:rsidP="00CF3000">
      <w:pPr>
        <w:pStyle w:val="0Textedebase"/>
      </w:pPr>
    </w:p>
    <w:p w:rsidR="00CF3000" w:rsidRDefault="00CF3000">
      <w:pPr>
        <w:spacing w:line="240" w:lineRule="auto"/>
        <w:rPr>
          <w:b/>
          <w:bCs/>
        </w:rPr>
      </w:pPr>
      <w:r>
        <w:rPr>
          <w:b/>
          <w:bCs/>
        </w:rPr>
        <w:br w:type="page"/>
      </w:r>
    </w:p>
    <w:p w:rsidR="00CF3000" w:rsidRPr="00CF3000" w:rsidRDefault="00CF3000" w:rsidP="00CF3000">
      <w:pPr>
        <w:pStyle w:val="0Textedebase"/>
        <w:rPr>
          <w:b/>
          <w:bCs/>
        </w:rPr>
      </w:pPr>
      <w:r w:rsidRPr="00CF3000">
        <w:rPr>
          <w:b/>
          <w:bCs/>
        </w:rPr>
        <w:lastRenderedPageBreak/>
        <w:t>5</w:t>
      </w:r>
      <w:r w:rsidRPr="00CF3000">
        <w:rPr>
          <w:b/>
          <w:bCs/>
        </w:rPr>
        <w:tab/>
        <w:t>Application procedure</w:t>
      </w:r>
    </w:p>
    <w:p w:rsidR="00CF3000" w:rsidRPr="00CF3000" w:rsidRDefault="00CF3000" w:rsidP="00CF3000">
      <w:pPr>
        <w:pStyle w:val="0Textedebase"/>
      </w:pPr>
    </w:p>
    <w:p w:rsidR="00CF3000" w:rsidRPr="00CF3000" w:rsidRDefault="00CF3000" w:rsidP="00CF3000">
      <w:pPr>
        <w:pStyle w:val="0Textedebase"/>
      </w:pPr>
      <w:r w:rsidRPr="00CF3000">
        <w:t xml:space="preserve">All project proposals must follow the template in Annex 2. The template </w:t>
      </w:r>
      <w:proofErr w:type="gramStart"/>
      <w:r w:rsidRPr="00CF3000">
        <w:t xml:space="preserve">can also be downloaded at </w:t>
      </w:r>
      <w:r w:rsidRPr="00CF3000">
        <w:rPr>
          <w:rStyle w:val="Lienhypertexte"/>
          <w:color w:val="auto"/>
        </w:rPr>
        <w:t>www.upu.int/en/activities/financial-inclusion/financial-inclusion-technical-assistance-facility.html</w:t>
      </w:r>
      <w:r w:rsidRPr="00CF3000">
        <w:t xml:space="preserve"> or requested at </w:t>
      </w:r>
      <w:r w:rsidRPr="00CF3000">
        <w:rPr>
          <w:rStyle w:val="Lienhypertexte"/>
          <w:color w:val="auto"/>
        </w:rPr>
        <w:t>fitaf@upu.int</w:t>
      </w:r>
      <w:proofErr w:type="gramEnd"/>
      <w:r w:rsidRPr="00CF3000">
        <w:t>.</w:t>
      </w:r>
    </w:p>
    <w:p w:rsidR="00CF3000" w:rsidRPr="00CF3000" w:rsidRDefault="00CF3000" w:rsidP="00CF3000">
      <w:pPr>
        <w:pStyle w:val="0Textedebase"/>
      </w:pPr>
    </w:p>
    <w:p w:rsidR="00CF3000" w:rsidRPr="00CF3000" w:rsidRDefault="00CF3000" w:rsidP="00CF3000">
      <w:pPr>
        <w:pStyle w:val="0Textedebase"/>
      </w:pPr>
      <w:r w:rsidRPr="00CF3000">
        <w:t>Proposals should contain the following documents in PDF format:</w:t>
      </w:r>
    </w:p>
    <w:p w:rsidR="00CF3000" w:rsidRPr="00CF3000" w:rsidRDefault="00CF3000" w:rsidP="00CF3000">
      <w:pPr>
        <w:pStyle w:val="1Premierretrait"/>
        <w:rPr>
          <w:lang w:val="en-GB"/>
        </w:rPr>
      </w:pPr>
      <w:r w:rsidRPr="00CF3000">
        <w:rPr>
          <w:lang w:val="en-GB"/>
        </w:rPr>
        <w:t>Project proposal form, signed (Annex 2);</w:t>
      </w:r>
    </w:p>
    <w:p w:rsidR="00CF3000" w:rsidRPr="00CF3000" w:rsidRDefault="00CF3000" w:rsidP="00CF3000">
      <w:pPr>
        <w:pStyle w:val="1Premierretrait"/>
        <w:rPr>
          <w:lang w:val="en-GB"/>
        </w:rPr>
      </w:pPr>
      <w:r w:rsidRPr="00CF3000">
        <w:rPr>
          <w:lang w:val="en-GB"/>
        </w:rPr>
        <w:t>Budget form (Annex 3).</w:t>
      </w:r>
    </w:p>
    <w:p w:rsidR="00CF3000" w:rsidRPr="00CF3000" w:rsidRDefault="00CF3000" w:rsidP="00CF3000">
      <w:pPr>
        <w:pStyle w:val="0Textedebase"/>
      </w:pPr>
    </w:p>
    <w:p w:rsidR="00CF3000" w:rsidRPr="00CF3000" w:rsidRDefault="00CF3000" w:rsidP="00CF3000">
      <w:pPr>
        <w:pStyle w:val="0Textedebase"/>
      </w:pPr>
      <w:r w:rsidRPr="00CF3000">
        <w:t xml:space="preserve">Proposals </w:t>
      </w:r>
      <w:proofErr w:type="gramStart"/>
      <w:r w:rsidRPr="00CF3000">
        <w:t>must be submitted</w:t>
      </w:r>
      <w:proofErr w:type="gramEnd"/>
      <w:r w:rsidRPr="00CF3000">
        <w:t xml:space="preserve"> in English or French, the two working languages of the UPU. </w:t>
      </w:r>
    </w:p>
    <w:p w:rsidR="00CF3000" w:rsidRPr="00CF3000" w:rsidRDefault="00CF3000" w:rsidP="00CF3000">
      <w:pPr>
        <w:pStyle w:val="0Textedebase"/>
      </w:pPr>
    </w:p>
    <w:p w:rsidR="00CF3000" w:rsidRPr="00CF3000" w:rsidRDefault="00CF3000" w:rsidP="00D9647B">
      <w:pPr>
        <w:pStyle w:val="0Textedebase"/>
      </w:pPr>
      <w:r w:rsidRPr="00CF3000">
        <w:t xml:space="preserve">Project proposals are to </w:t>
      </w:r>
      <w:proofErr w:type="gramStart"/>
      <w:r w:rsidRPr="00CF3000">
        <w:t>be submitted</w:t>
      </w:r>
      <w:proofErr w:type="gramEnd"/>
      <w:r w:rsidRPr="00CF3000">
        <w:t xml:space="preserve"> electronically to fitaf@upu.int </w:t>
      </w:r>
      <w:r w:rsidRPr="002264F8">
        <w:rPr>
          <w:b/>
          <w:bCs/>
        </w:rPr>
        <w:t>by 28 February 20</w:t>
      </w:r>
      <w:r w:rsidR="00D9647B">
        <w:rPr>
          <w:b/>
          <w:bCs/>
        </w:rPr>
        <w:t>20</w:t>
      </w:r>
      <w:bookmarkStart w:id="0" w:name="_GoBack"/>
      <w:bookmarkEnd w:id="0"/>
      <w:r w:rsidRPr="00CF3000">
        <w:t xml:space="preserve">. </w:t>
      </w:r>
    </w:p>
    <w:p w:rsidR="00CF3000" w:rsidRPr="00CF3000" w:rsidRDefault="00CF3000" w:rsidP="00CF3000">
      <w:pPr>
        <w:pStyle w:val="0Textedebase"/>
      </w:pPr>
    </w:p>
    <w:p w:rsidR="00CF3000" w:rsidRPr="00CF3000" w:rsidRDefault="00CF3000" w:rsidP="00CF3000">
      <w:pPr>
        <w:pStyle w:val="0Textedebase"/>
      </w:pPr>
      <w:r w:rsidRPr="00CF3000">
        <w:t xml:space="preserve">Proposals that do not comply with the above requirements </w:t>
      </w:r>
      <w:proofErr w:type="gramStart"/>
      <w:r w:rsidRPr="00CF3000">
        <w:t>will be disregarded</w:t>
      </w:r>
      <w:proofErr w:type="gramEnd"/>
      <w:r w:rsidRPr="00CF3000">
        <w:t xml:space="preserve">. </w:t>
      </w:r>
    </w:p>
    <w:p w:rsidR="00CF3000" w:rsidRPr="00CF3000" w:rsidRDefault="00CF3000" w:rsidP="00CF3000">
      <w:pPr>
        <w:pStyle w:val="0Textedebase"/>
      </w:pPr>
    </w:p>
    <w:p w:rsidR="00CF3000" w:rsidRPr="002264F8" w:rsidRDefault="002264F8" w:rsidP="00CF3000">
      <w:pPr>
        <w:pStyle w:val="0Textedebase"/>
        <w:rPr>
          <w:i/>
          <w:iCs/>
        </w:rPr>
      </w:pPr>
      <w:r w:rsidRPr="002264F8">
        <w:rPr>
          <w:i/>
          <w:iCs/>
        </w:rPr>
        <w:t>Contact</w:t>
      </w:r>
    </w:p>
    <w:p w:rsidR="00CF3000" w:rsidRPr="00CF3000" w:rsidRDefault="00CF3000" w:rsidP="00CF3000">
      <w:pPr>
        <w:pStyle w:val="0Textedebase"/>
        <w:spacing w:before="120"/>
      </w:pPr>
      <w:r w:rsidRPr="00CF3000">
        <w:t xml:space="preserve">E-mail: </w:t>
      </w:r>
      <w:r w:rsidRPr="00CF3000">
        <w:rPr>
          <w:rStyle w:val="Lienhypertexte"/>
          <w:rFonts w:asciiTheme="minorBidi" w:hAnsiTheme="minorBidi"/>
          <w:color w:val="auto"/>
        </w:rPr>
        <w:t>fitaf@upu.int</w:t>
      </w:r>
    </w:p>
    <w:p w:rsidR="00CF3000" w:rsidRPr="00CF3000" w:rsidRDefault="00CF3000" w:rsidP="00BF5DDA">
      <w:pPr>
        <w:pStyle w:val="0Textedebase"/>
      </w:pPr>
    </w:p>
    <w:p w:rsidR="00CF3000" w:rsidRPr="00CF3000" w:rsidRDefault="00CF3000" w:rsidP="00BF5DDA">
      <w:pPr>
        <w:pStyle w:val="0Textedebase"/>
      </w:pPr>
    </w:p>
    <w:sectPr w:rsidR="00CF3000" w:rsidRPr="00CF3000" w:rsidSect="003118BD">
      <w:headerReference w:type="even" r:id="rId12"/>
      <w:headerReference w:type="default" r:id="rId13"/>
      <w:headerReference w:type="first" r:id="rId14"/>
      <w:footnotePr>
        <w:numRestart w:val="eachPage"/>
      </w:footnotePr>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140" w:rsidRDefault="00231140">
      <w:pPr>
        <w:spacing w:after="120"/>
        <w:rPr>
          <w:sz w:val="18"/>
        </w:rPr>
      </w:pPr>
      <w:r>
        <w:rPr>
          <w:sz w:val="18"/>
        </w:rPr>
        <w:t>____________</w:t>
      </w:r>
    </w:p>
  </w:endnote>
  <w:endnote w:type="continuationSeparator" w:id="0">
    <w:p w:rsidR="00231140" w:rsidRDefault="0023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45 Helvetica Ligh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140" w:rsidRDefault="00231140" w:rsidP="009E7ADC">
      <w:pPr>
        <w:rPr>
          <w:sz w:val="18"/>
        </w:rPr>
      </w:pPr>
    </w:p>
  </w:footnote>
  <w:footnote w:type="continuationSeparator" w:id="0">
    <w:p w:rsidR="00231140" w:rsidRPr="00252BCD" w:rsidRDefault="00231140" w:rsidP="009E7ADC">
      <w:pPr>
        <w:rPr>
          <w:sz w:val="18"/>
          <w:szCs w:val="18"/>
        </w:rPr>
      </w:pPr>
    </w:p>
  </w:footnote>
  <w:footnote w:type="continuationNotice" w:id="1">
    <w:p w:rsidR="00231140" w:rsidRPr="00252BCD" w:rsidRDefault="00231140" w:rsidP="004E2B3B">
      <w:pPr>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F5" w:rsidRDefault="00527FF5">
    <w:pPr>
      <w:jc w:val="center"/>
    </w:pPr>
    <w:r>
      <w:pgNum/>
    </w:r>
  </w:p>
  <w:p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F5" w:rsidRDefault="00527FF5" w:rsidP="00F639BA">
    <w:pPr>
      <w:jc w:val="center"/>
    </w:pPr>
    <w:r>
      <w:pgNum/>
    </w:r>
  </w:p>
  <w:p w:rsidR="00527FF5" w:rsidRDefault="00527FF5"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119"/>
      <w:gridCol w:w="6520"/>
    </w:tblGrid>
    <w:tr w:rsidR="00F87364" w:rsidRPr="001813EE">
      <w:trPr>
        <w:trHeight w:val="1418"/>
      </w:trPr>
      <w:tc>
        <w:tcPr>
          <w:tcW w:w="3119" w:type="dxa"/>
        </w:tcPr>
        <w:p w:rsidR="00F87364" w:rsidRDefault="00594888" w:rsidP="00AE0D85">
          <w:pPr>
            <w:pStyle w:val="En-tte"/>
            <w:spacing w:before="20" w:after="1180"/>
            <w:rPr>
              <w:rFonts w:ascii="45 Helvetica Light" w:hAnsi="45 Helvetica Light"/>
              <w:sz w:val="18"/>
            </w:rPr>
          </w:pPr>
          <w:r>
            <w:rPr>
              <w:rFonts w:ascii="45 Helvetica Light" w:hAnsi="45 Helvetica Light"/>
              <w:noProof/>
              <w:sz w:val="18"/>
              <w:lang w:val="en-US" w:eastAsia="en-US"/>
            </w:rPr>
            <w:drawing>
              <wp:inline distT="0" distB="0" distL="0" distR="0">
                <wp:extent cx="163830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inline>
            </w:drawing>
          </w:r>
        </w:p>
      </w:tc>
      <w:tc>
        <w:tcPr>
          <w:tcW w:w="6520" w:type="dxa"/>
        </w:tcPr>
        <w:p w:rsidR="00282FAD" w:rsidRPr="001813EE" w:rsidRDefault="002264F8" w:rsidP="00BF5DDA">
          <w:pPr>
            <w:autoSpaceDE w:val="0"/>
            <w:autoSpaceDN w:val="0"/>
            <w:adjustRightInd w:val="0"/>
            <w:ind w:right="8"/>
            <w:jc w:val="right"/>
          </w:pPr>
          <w:r w:rsidRPr="00543A4E">
            <w:rPr>
              <w:b/>
              <w:bCs/>
              <w:noProof/>
              <w:sz w:val="28"/>
              <w:szCs w:val="28"/>
              <w:lang w:val="en-US" w:eastAsia="en-US"/>
            </w:rPr>
            <w:drawing>
              <wp:anchor distT="0" distB="0" distL="114300" distR="114300" simplePos="0" relativeHeight="251659264" behindDoc="0" locked="0" layoutInCell="1" allowOverlap="1" wp14:anchorId="1F98B128" wp14:editId="3FD11111">
                <wp:simplePos x="0" y="0"/>
                <wp:positionH relativeFrom="margin">
                  <wp:posOffset>3658235</wp:posOffset>
                </wp:positionH>
                <wp:positionV relativeFrom="margin">
                  <wp:posOffset>15240</wp:posOffset>
                </wp:positionV>
                <wp:extent cx="482400" cy="982800"/>
                <wp:effectExtent l="0" t="0" r="0" b="8255"/>
                <wp:wrapSquare wrapText="bothSides"/>
                <wp:docPr id="6" name="Image 2" descr="Z:\direction\dmr\DMR.DDIF\Financial Inclusion\Financial Inclusion files\Projets\FITAF\Gates 2 - TA Facility\Communication\logo\fitaf 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irection\dmr\DMR.DDIF\Financial Inclusion\Financial Inclusion files\Projets\FITAF\Gates 2 - TA Facility\Communication\logo\fitaf logotyp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2400" cy="982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3104EA" w:rsidRPr="00376861" w:rsidRDefault="003104EA" w:rsidP="00175DD4">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4E4"/>
    <w:multiLevelType w:val="hybridMultilevel"/>
    <w:tmpl w:val="AE2658C0"/>
    <w:lvl w:ilvl="0" w:tplc="9E86136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753AA"/>
    <w:multiLevelType w:val="hybridMultilevel"/>
    <w:tmpl w:val="B0E280CA"/>
    <w:lvl w:ilvl="0" w:tplc="9E86136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1675BA"/>
    <w:multiLevelType w:val="hybridMultilevel"/>
    <w:tmpl w:val="9C5AB724"/>
    <w:lvl w:ilvl="0" w:tplc="8B885CEC">
      <w:numFmt w:val="bullet"/>
      <w:pStyle w:val="3Troisimeretrai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DB125E"/>
    <w:multiLevelType w:val="singleLevel"/>
    <w:tmpl w:val="16DC55D8"/>
    <w:lvl w:ilvl="0">
      <w:numFmt w:val="bullet"/>
      <w:pStyle w:val="2Deuximeretrait"/>
      <w:lvlText w:val=""/>
      <w:lvlJc w:val="left"/>
      <w:pPr>
        <w:tabs>
          <w:tab w:val="num" w:pos="1134"/>
        </w:tabs>
        <w:ind w:left="1134" w:hanging="567"/>
      </w:pPr>
      <w:rPr>
        <w:rFonts w:ascii="Symbol" w:hAnsi="Symbol" w:hint="default"/>
      </w:rPr>
    </w:lvl>
  </w:abstractNum>
  <w:abstractNum w:abstractNumId="4" w15:restartNumberingAfterBreak="0">
    <w:nsid w:val="6D883BC2"/>
    <w:multiLevelType w:val="hybridMultilevel"/>
    <w:tmpl w:val="BDBA2D1A"/>
    <w:lvl w:ilvl="0" w:tplc="AC689E5C">
      <w:numFmt w:val="bullet"/>
      <w:pStyle w:val="1Premierretrai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fill="f" fillcolor="white" stroke="f">
      <v:fill color="white" on="f"/>
      <v:stroke on="f"/>
    </o:shapedefaults>
  </w:hdrShapeDefaults>
  <w:footnotePr>
    <w:numRestart w:val="eachPage"/>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40"/>
    <w:rsid w:val="000021DD"/>
    <w:rsid w:val="00004D2B"/>
    <w:rsid w:val="0002298F"/>
    <w:rsid w:val="00023669"/>
    <w:rsid w:val="00026EC5"/>
    <w:rsid w:val="0003129E"/>
    <w:rsid w:val="000370A1"/>
    <w:rsid w:val="000465C9"/>
    <w:rsid w:val="000569F6"/>
    <w:rsid w:val="00057410"/>
    <w:rsid w:val="0007077B"/>
    <w:rsid w:val="000A31D7"/>
    <w:rsid w:val="000B24C3"/>
    <w:rsid w:val="000D1BB1"/>
    <w:rsid w:val="000E0AB2"/>
    <w:rsid w:val="000F05D6"/>
    <w:rsid w:val="001006F4"/>
    <w:rsid w:val="00104F21"/>
    <w:rsid w:val="0011269C"/>
    <w:rsid w:val="0011322E"/>
    <w:rsid w:val="001153B2"/>
    <w:rsid w:val="00121A6F"/>
    <w:rsid w:val="001567C5"/>
    <w:rsid w:val="00161F92"/>
    <w:rsid w:val="0017006D"/>
    <w:rsid w:val="00172757"/>
    <w:rsid w:val="00175DD4"/>
    <w:rsid w:val="001813EE"/>
    <w:rsid w:val="001A4314"/>
    <w:rsid w:val="001B29B5"/>
    <w:rsid w:val="002264F8"/>
    <w:rsid w:val="00231140"/>
    <w:rsid w:val="00232DCA"/>
    <w:rsid w:val="00235B72"/>
    <w:rsid w:val="00235BDF"/>
    <w:rsid w:val="00246F24"/>
    <w:rsid w:val="002509E3"/>
    <w:rsid w:val="00252BCD"/>
    <w:rsid w:val="0025499D"/>
    <w:rsid w:val="00261EAE"/>
    <w:rsid w:val="002658AC"/>
    <w:rsid w:val="0026706D"/>
    <w:rsid w:val="00272937"/>
    <w:rsid w:val="00282124"/>
    <w:rsid w:val="00282FAD"/>
    <w:rsid w:val="0029168C"/>
    <w:rsid w:val="002A3142"/>
    <w:rsid w:val="002A663B"/>
    <w:rsid w:val="002B1B7A"/>
    <w:rsid w:val="002B2A67"/>
    <w:rsid w:val="002B5485"/>
    <w:rsid w:val="002B66E8"/>
    <w:rsid w:val="002C3576"/>
    <w:rsid w:val="002E0627"/>
    <w:rsid w:val="002E0F1E"/>
    <w:rsid w:val="002F7773"/>
    <w:rsid w:val="003002DC"/>
    <w:rsid w:val="00304361"/>
    <w:rsid w:val="003104EA"/>
    <w:rsid w:val="003118BD"/>
    <w:rsid w:val="00324705"/>
    <w:rsid w:val="00325076"/>
    <w:rsid w:val="00325132"/>
    <w:rsid w:val="00331C6E"/>
    <w:rsid w:val="003405FB"/>
    <w:rsid w:val="003407BC"/>
    <w:rsid w:val="00342CD6"/>
    <w:rsid w:val="00343FF6"/>
    <w:rsid w:val="0035401F"/>
    <w:rsid w:val="00355163"/>
    <w:rsid w:val="00361DE6"/>
    <w:rsid w:val="00372B67"/>
    <w:rsid w:val="0037420A"/>
    <w:rsid w:val="003750AE"/>
    <w:rsid w:val="00376861"/>
    <w:rsid w:val="00381487"/>
    <w:rsid w:val="003B1F46"/>
    <w:rsid w:val="003B28A2"/>
    <w:rsid w:val="003D669E"/>
    <w:rsid w:val="00401142"/>
    <w:rsid w:val="00422F57"/>
    <w:rsid w:val="00436DF0"/>
    <w:rsid w:val="00440327"/>
    <w:rsid w:val="0046077D"/>
    <w:rsid w:val="004611D5"/>
    <w:rsid w:val="004675F4"/>
    <w:rsid w:val="00471CE5"/>
    <w:rsid w:val="0047611B"/>
    <w:rsid w:val="004836DE"/>
    <w:rsid w:val="0048629B"/>
    <w:rsid w:val="004A31FB"/>
    <w:rsid w:val="004A6F3C"/>
    <w:rsid w:val="004B7FB6"/>
    <w:rsid w:val="004C4EBF"/>
    <w:rsid w:val="004C6BEE"/>
    <w:rsid w:val="004D03CA"/>
    <w:rsid w:val="004D221E"/>
    <w:rsid w:val="004D2DA6"/>
    <w:rsid w:val="004E05F3"/>
    <w:rsid w:val="004E1F28"/>
    <w:rsid w:val="004E2B3B"/>
    <w:rsid w:val="004E44D9"/>
    <w:rsid w:val="004E63E4"/>
    <w:rsid w:val="0051701F"/>
    <w:rsid w:val="00527FF5"/>
    <w:rsid w:val="00532FAF"/>
    <w:rsid w:val="005345AF"/>
    <w:rsid w:val="00536401"/>
    <w:rsid w:val="00565476"/>
    <w:rsid w:val="00570EDB"/>
    <w:rsid w:val="005749CB"/>
    <w:rsid w:val="00577828"/>
    <w:rsid w:val="005812B9"/>
    <w:rsid w:val="00590BBB"/>
    <w:rsid w:val="00594888"/>
    <w:rsid w:val="005A1FD5"/>
    <w:rsid w:val="005B19E5"/>
    <w:rsid w:val="005B20C7"/>
    <w:rsid w:val="005C2838"/>
    <w:rsid w:val="005D36DD"/>
    <w:rsid w:val="005D36F8"/>
    <w:rsid w:val="005D42D7"/>
    <w:rsid w:val="005D7F27"/>
    <w:rsid w:val="005E5DC2"/>
    <w:rsid w:val="005F0892"/>
    <w:rsid w:val="005F4A1C"/>
    <w:rsid w:val="006206CE"/>
    <w:rsid w:val="00632654"/>
    <w:rsid w:val="00635A0F"/>
    <w:rsid w:val="00637585"/>
    <w:rsid w:val="00643F80"/>
    <w:rsid w:val="00653717"/>
    <w:rsid w:val="00653FFD"/>
    <w:rsid w:val="00654B91"/>
    <w:rsid w:val="00656A8B"/>
    <w:rsid w:val="006724B1"/>
    <w:rsid w:val="006A79AB"/>
    <w:rsid w:val="006B1882"/>
    <w:rsid w:val="006B5298"/>
    <w:rsid w:val="006C019C"/>
    <w:rsid w:val="006C2CBD"/>
    <w:rsid w:val="006C47EF"/>
    <w:rsid w:val="006D5D8D"/>
    <w:rsid w:val="006D7522"/>
    <w:rsid w:val="006E36B1"/>
    <w:rsid w:val="006F11DB"/>
    <w:rsid w:val="006F45A2"/>
    <w:rsid w:val="00717D08"/>
    <w:rsid w:val="00732721"/>
    <w:rsid w:val="00756C4A"/>
    <w:rsid w:val="00757BB9"/>
    <w:rsid w:val="00761DEC"/>
    <w:rsid w:val="0076291C"/>
    <w:rsid w:val="00765B70"/>
    <w:rsid w:val="0077420D"/>
    <w:rsid w:val="00780CBD"/>
    <w:rsid w:val="00783C7C"/>
    <w:rsid w:val="007944F2"/>
    <w:rsid w:val="007A2839"/>
    <w:rsid w:val="007B1245"/>
    <w:rsid w:val="007B6036"/>
    <w:rsid w:val="007B6654"/>
    <w:rsid w:val="007C679A"/>
    <w:rsid w:val="007D07CD"/>
    <w:rsid w:val="007D2933"/>
    <w:rsid w:val="007D50A8"/>
    <w:rsid w:val="007D6956"/>
    <w:rsid w:val="007E0A42"/>
    <w:rsid w:val="007E6319"/>
    <w:rsid w:val="007E79BC"/>
    <w:rsid w:val="007F129B"/>
    <w:rsid w:val="007F6E68"/>
    <w:rsid w:val="00843281"/>
    <w:rsid w:val="00846594"/>
    <w:rsid w:val="00857B50"/>
    <w:rsid w:val="0087570D"/>
    <w:rsid w:val="00884839"/>
    <w:rsid w:val="00894CD8"/>
    <w:rsid w:val="00894DA0"/>
    <w:rsid w:val="00897E26"/>
    <w:rsid w:val="008A5A68"/>
    <w:rsid w:val="008B7E25"/>
    <w:rsid w:val="008C6FD6"/>
    <w:rsid w:val="008D3810"/>
    <w:rsid w:val="008D58D7"/>
    <w:rsid w:val="008E54AA"/>
    <w:rsid w:val="008E7619"/>
    <w:rsid w:val="008F12A9"/>
    <w:rsid w:val="008F1500"/>
    <w:rsid w:val="00903CF6"/>
    <w:rsid w:val="0091074C"/>
    <w:rsid w:val="00932DC4"/>
    <w:rsid w:val="009347F4"/>
    <w:rsid w:val="009434D3"/>
    <w:rsid w:val="00954254"/>
    <w:rsid w:val="009569DE"/>
    <w:rsid w:val="00957FCD"/>
    <w:rsid w:val="00967DBA"/>
    <w:rsid w:val="00973D77"/>
    <w:rsid w:val="00974119"/>
    <w:rsid w:val="009A22B9"/>
    <w:rsid w:val="009B449A"/>
    <w:rsid w:val="009C0330"/>
    <w:rsid w:val="009C5BD0"/>
    <w:rsid w:val="009D77AD"/>
    <w:rsid w:val="009E7ADC"/>
    <w:rsid w:val="009F110E"/>
    <w:rsid w:val="009F36E2"/>
    <w:rsid w:val="00A06C89"/>
    <w:rsid w:val="00A345CC"/>
    <w:rsid w:val="00A418A0"/>
    <w:rsid w:val="00A455D1"/>
    <w:rsid w:val="00A53E1E"/>
    <w:rsid w:val="00A5792F"/>
    <w:rsid w:val="00A61B34"/>
    <w:rsid w:val="00A6703E"/>
    <w:rsid w:val="00A73891"/>
    <w:rsid w:val="00A809D7"/>
    <w:rsid w:val="00A90518"/>
    <w:rsid w:val="00A92377"/>
    <w:rsid w:val="00AA01D2"/>
    <w:rsid w:val="00AA61ED"/>
    <w:rsid w:val="00AA7A6C"/>
    <w:rsid w:val="00AB7653"/>
    <w:rsid w:val="00AC2359"/>
    <w:rsid w:val="00AE0D85"/>
    <w:rsid w:val="00AE2BF2"/>
    <w:rsid w:val="00B00E3F"/>
    <w:rsid w:val="00B010D9"/>
    <w:rsid w:val="00B11447"/>
    <w:rsid w:val="00B1711E"/>
    <w:rsid w:val="00B262DA"/>
    <w:rsid w:val="00B30CB2"/>
    <w:rsid w:val="00B40E14"/>
    <w:rsid w:val="00B458DD"/>
    <w:rsid w:val="00B551EF"/>
    <w:rsid w:val="00B7190D"/>
    <w:rsid w:val="00B838AD"/>
    <w:rsid w:val="00B86608"/>
    <w:rsid w:val="00BA404F"/>
    <w:rsid w:val="00BA5BFB"/>
    <w:rsid w:val="00BB3ACD"/>
    <w:rsid w:val="00BB6C6C"/>
    <w:rsid w:val="00BC0807"/>
    <w:rsid w:val="00BC1442"/>
    <w:rsid w:val="00BC4919"/>
    <w:rsid w:val="00BC507E"/>
    <w:rsid w:val="00BF2822"/>
    <w:rsid w:val="00BF2F28"/>
    <w:rsid w:val="00BF5B9E"/>
    <w:rsid w:val="00BF5DDA"/>
    <w:rsid w:val="00C0653D"/>
    <w:rsid w:val="00C06D24"/>
    <w:rsid w:val="00C06D46"/>
    <w:rsid w:val="00C17350"/>
    <w:rsid w:val="00C21452"/>
    <w:rsid w:val="00C2769E"/>
    <w:rsid w:val="00C35110"/>
    <w:rsid w:val="00C402AE"/>
    <w:rsid w:val="00C74B88"/>
    <w:rsid w:val="00C77EF0"/>
    <w:rsid w:val="00C903B8"/>
    <w:rsid w:val="00C91301"/>
    <w:rsid w:val="00C91C2F"/>
    <w:rsid w:val="00CA3D20"/>
    <w:rsid w:val="00CA48DE"/>
    <w:rsid w:val="00CA5C8A"/>
    <w:rsid w:val="00CB231C"/>
    <w:rsid w:val="00CB2FA6"/>
    <w:rsid w:val="00CC0402"/>
    <w:rsid w:val="00CC3161"/>
    <w:rsid w:val="00CC7367"/>
    <w:rsid w:val="00CD03E7"/>
    <w:rsid w:val="00CD506E"/>
    <w:rsid w:val="00CE2270"/>
    <w:rsid w:val="00CF3000"/>
    <w:rsid w:val="00D154F8"/>
    <w:rsid w:val="00D3589B"/>
    <w:rsid w:val="00D5013D"/>
    <w:rsid w:val="00D50254"/>
    <w:rsid w:val="00D61B31"/>
    <w:rsid w:val="00D64064"/>
    <w:rsid w:val="00D73262"/>
    <w:rsid w:val="00D73A0A"/>
    <w:rsid w:val="00D86E26"/>
    <w:rsid w:val="00D87EA1"/>
    <w:rsid w:val="00D9647B"/>
    <w:rsid w:val="00DA49AB"/>
    <w:rsid w:val="00DA646A"/>
    <w:rsid w:val="00DB7EC0"/>
    <w:rsid w:val="00DC4D86"/>
    <w:rsid w:val="00DD2E17"/>
    <w:rsid w:val="00E005A3"/>
    <w:rsid w:val="00E048A5"/>
    <w:rsid w:val="00E10CD5"/>
    <w:rsid w:val="00E25264"/>
    <w:rsid w:val="00E270C8"/>
    <w:rsid w:val="00E31D00"/>
    <w:rsid w:val="00E3448B"/>
    <w:rsid w:val="00E56573"/>
    <w:rsid w:val="00E72B05"/>
    <w:rsid w:val="00E76C5C"/>
    <w:rsid w:val="00EB1D58"/>
    <w:rsid w:val="00ED183A"/>
    <w:rsid w:val="00ED187F"/>
    <w:rsid w:val="00ED3F9A"/>
    <w:rsid w:val="00ED59D0"/>
    <w:rsid w:val="00ED63F7"/>
    <w:rsid w:val="00ED6707"/>
    <w:rsid w:val="00ED7E1E"/>
    <w:rsid w:val="00EE2A54"/>
    <w:rsid w:val="00F102CC"/>
    <w:rsid w:val="00F11A72"/>
    <w:rsid w:val="00F13542"/>
    <w:rsid w:val="00F14924"/>
    <w:rsid w:val="00F15EB7"/>
    <w:rsid w:val="00F218A4"/>
    <w:rsid w:val="00F23B57"/>
    <w:rsid w:val="00F33A54"/>
    <w:rsid w:val="00F521BF"/>
    <w:rsid w:val="00F6214A"/>
    <w:rsid w:val="00F62978"/>
    <w:rsid w:val="00F639BA"/>
    <w:rsid w:val="00F80016"/>
    <w:rsid w:val="00F83905"/>
    <w:rsid w:val="00F87364"/>
    <w:rsid w:val="00F87A5B"/>
    <w:rsid w:val="00F963C3"/>
    <w:rsid w:val="00FA282F"/>
    <w:rsid w:val="00FA2EFC"/>
    <w:rsid w:val="00FA4955"/>
    <w:rsid w:val="00FB4B14"/>
    <w:rsid w:val="00FC5E68"/>
    <w:rsid w:val="00FD37C0"/>
    <w:rsid w:val="00FD4FD5"/>
    <w:rsid w:val="00FE6153"/>
    <w:rsid w:val="00FF2BFE"/>
    <w:rsid w:val="00FF2ED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fill="f" fillcolor="white" stroke="f">
      <v:fill color="white" on="f"/>
      <v:stroke on="f"/>
    </o:shapedefaults>
    <o:shapelayout v:ext="edit">
      <o:idmap v:ext="edit" data="1"/>
    </o:shapelayout>
  </w:shapeDefaults>
  <w:decimalSymbol w:val=","/>
  <w:listSeparator w:val=";"/>
  <w14:docId w14:val="0C6546EE"/>
  <w15:docId w15:val="{B99CF151-BD4E-4173-A56A-461FA3FF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955"/>
    <w:pPr>
      <w:spacing w:line="240" w:lineRule="atLeast"/>
    </w:pPr>
    <w:rPr>
      <w:rFonts w:ascii="Arial" w:hAnsi="Arial" w:cs="Arial"/>
      <w:lang w:val="en-GB"/>
    </w:rPr>
  </w:style>
  <w:style w:type="paragraph" w:styleId="Titre1">
    <w:name w:val="heading 1"/>
    <w:basedOn w:val="Normal"/>
    <w:next w:val="0Textedebase"/>
    <w:qFormat/>
    <w:pPr>
      <w:ind w:left="567" w:hanging="567"/>
      <w:jc w:val="both"/>
      <w:outlineLvl w:val="0"/>
    </w:pPr>
    <w:rPr>
      <w:b/>
      <w:bCs/>
    </w:rPr>
  </w:style>
  <w:style w:type="paragraph" w:styleId="Titre2">
    <w:name w:val="heading 2"/>
    <w:basedOn w:val="Normal"/>
    <w:next w:val="0Textedebase"/>
    <w:qFormat/>
    <w:pPr>
      <w:ind w:left="567" w:hanging="567"/>
      <w:jc w:val="both"/>
      <w:outlineLvl w:val="1"/>
    </w:pPr>
    <w:rPr>
      <w:i/>
      <w:iCs/>
    </w:rPr>
  </w:style>
  <w:style w:type="paragraph" w:styleId="Titre3">
    <w:name w:val="heading 3"/>
    <w:basedOn w:val="Normal"/>
    <w:next w:val="0Textedebase"/>
    <w:qFormat/>
    <w:pPr>
      <w:tabs>
        <w:tab w:val="left" w:pos="567"/>
      </w:tabs>
      <w:jc w:val="both"/>
      <w:outlineLvl w:val="2"/>
    </w:pPr>
  </w:style>
  <w:style w:type="paragraph" w:styleId="Titre4">
    <w:name w:val="heading 4"/>
    <w:basedOn w:val="Normal"/>
    <w:next w:val="Normal"/>
    <w:qFormat/>
    <w:rsid w:val="0035401F"/>
    <w:pPr>
      <w:outlineLvl w:val="3"/>
    </w:pPr>
    <w:rPr>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rFonts w:ascii="Arial" w:hAnsi="Arial"/>
      <w:b/>
      <w:sz w:val="20"/>
      <w:szCs w:val="20"/>
      <w:vertAlign w:val="superscript"/>
      <w:lang w:val="fr-FR" w:eastAsia="fr-CH" w:bidi="ar-SA"/>
    </w:rPr>
  </w:style>
  <w:style w:type="paragraph" w:customStyle="1" w:styleId="0Textedebase">
    <w:name w:val="0 Texte de base"/>
    <w:basedOn w:val="Normal"/>
    <w:rsid w:val="00AE0D85"/>
    <w:pPr>
      <w:jc w:val="both"/>
    </w:pPr>
  </w:style>
  <w:style w:type="paragraph" w:customStyle="1" w:styleId="1Premierretrait">
    <w:name w:val="1 Premier retrait"/>
    <w:basedOn w:val="0Textedebase"/>
    <w:rsid w:val="00F102CC"/>
    <w:pPr>
      <w:numPr>
        <w:numId w:val="1"/>
      </w:numPr>
      <w:spacing w:before="120"/>
    </w:pPr>
    <w:rPr>
      <w:rFonts w:eastAsia="SimSun" w:cs="Mangal"/>
      <w:snapToGrid w:val="0"/>
      <w:lang w:val="fr-CH" w:eastAsia="zh-CN"/>
    </w:rPr>
  </w:style>
  <w:style w:type="paragraph" w:customStyle="1" w:styleId="2Deuximeretrait">
    <w:name w:val="2 Deuxième retrait"/>
    <w:basedOn w:val="0Textedebase"/>
    <w:rsid w:val="00F102CC"/>
    <w:pPr>
      <w:numPr>
        <w:numId w:val="2"/>
      </w:numPr>
      <w:spacing w:before="120"/>
    </w:pPr>
    <w:rPr>
      <w:rFonts w:eastAsia="SimSun" w:cs="Mangal"/>
      <w:snapToGrid w:val="0"/>
      <w:lang w:val="fr-CH" w:eastAsia="zh-CN"/>
    </w:rPr>
  </w:style>
  <w:style w:type="paragraph" w:customStyle="1" w:styleId="3Troisimeretrait">
    <w:name w:val="3 Troisième retrait"/>
    <w:basedOn w:val="0Textedebase"/>
    <w:rsid w:val="000F05D6"/>
    <w:pPr>
      <w:numPr>
        <w:numId w:val="3"/>
      </w:numPr>
      <w:spacing w:before="120" w:line="240" w:lineRule="auto"/>
    </w:pPr>
    <w:rPr>
      <w:rFonts w:eastAsia="SimSun" w:cs="Mangal"/>
      <w:snapToGrid w:val="0"/>
      <w:szCs w:val="24"/>
      <w:lang w:val="fr-CH" w:eastAsia="zh-CN"/>
    </w:rPr>
  </w:style>
  <w:style w:type="paragraph" w:customStyle="1" w:styleId="Datesignature">
    <w:name w:val="Date+signature"/>
    <w:basedOn w:val="Normal"/>
    <w:rsid w:val="006206CE"/>
    <w:pPr>
      <w:tabs>
        <w:tab w:val="left" w:pos="5500"/>
      </w:tabs>
    </w:pPr>
    <w:rPr>
      <w:noProof/>
    </w:rPr>
  </w:style>
  <w:style w:type="paragraph" w:styleId="Notedebasdepage">
    <w:name w:val="footnote text"/>
    <w:basedOn w:val="Normal"/>
    <w:link w:val="NotedebasdepageCar"/>
    <w:uiPriority w:val="99"/>
    <w:semiHidden/>
    <w:rsid w:val="00ED6707"/>
    <w:pPr>
      <w:spacing w:line="240" w:lineRule="auto"/>
      <w:jc w:val="both"/>
    </w:pPr>
    <w:rPr>
      <w:sz w:val="18"/>
      <w:szCs w:val="18"/>
    </w:rPr>
  </w:style>
  <w:style w:type="paragraph" w:styleId="Pieddepage">
    <w:name w:val="footer"/>
    <w:basedOn w:val="Normal"/>
    <w:rsid w:val="009F110E"/>
    <w:pPr>
      <w:tabs>
        <w:tab w:val="center" w:pos="4536"/>
        <w:tab w:val="right" w:pos="9072"/>
      </w:tabs>
    </w:pPr>
  </w:style>
  <w:style w:type="paragraph" w:styleId="En-tte">
    <w:name w:val="header"/>
    <w:basedOn w:val="Normal"/>
    <w:pPr>
      <w:tabs>
        <w:tab w:val="center" w:pos="4536"/>
        <w:tab w:val="right" w:pos="9072"/>
      </w:tabs>
    </w:pPr>
  </w:style>
  <w:style w:type="paragraph" w:styleId="Notedefin">
    <w:name w:val="endnote text"/>
    <w:basedOn w:val="Normal"/>
    <w:semiHidden/>
    <w:pPr>
      <w:spacing w:line="240" w:lineRule="auto"/>
      <w:ind w:left="284" w:hanging="284"/>
      <w:jc w:val="both"/>
    </w:pPr>
    <w:rPr>
      <w:sz w:val="18"/>
      <w:szCs w:val="18"/>
    </w:rPr>
  </w:style>
  <w:style w:type="character" w:styleId="Appeldenotedefin">
    <w:name w:val="endnote reference"/>
    <w:semiHidden/>
    <w:rPr>
      <w:rFonts w:ascii="Arial" w:hAnsi="Arial"/>
      <w:b/>
      <w:sz w:val="20"/>
      <w:szCs w:val="20"/>
      <w:vertAlign w:val="superscript"/>
      <w:lang w:val="fr-FR" w:eastAsia="fr-CH" w:bidi="ar-SA"/>
    </w:rPr>
  </w:style>
  <w:style w:type="paragraph" w:styleId="TM9">
    <w:name w:val="toc 9"/>
    <w:basedOn w:val="Normal"/>
    <w:next w:val="Normal"/>
    <w:autoRedefine/>
    <w:semiHidden/>
    <w:rsid w:val="00843281"/>
    <w:pPr>
      <w:tabs>
        <w:tab w:val="left" w:pos="1620"/>
      </w:tabs>
      <w:autoSpaceDE w:val="0"/>
      <w:autoSpaceDN w:val="0"/>
      <w:adjustRightInd w:val="0"/>
      <w:jc w:val="both"/>
    </w:pPr>
  </w:style>
  <w:style w:type="paragraph" w:styleId="Textedebulles">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E25264"/>
    <w:pPr>
      <w:autoSpaceDE w:val="0"/>
      <w:autoSpaceDN w:val="0"/>
      <w:adjustRightInd w:val="0"/>
      <w:jc w:val="both"/>
    </w:pPr>
  </w:style>
  <w:style w:type="paragraph" w:customStyle="1" w:styleId="1aPremierretraitfortables">
    <w:name w:val="1a Premier retrait for tables"/>
    <w:basedOn w:val="1Premierretrait"/>
    <w:qFormat/>
    <w:rsid w:val="00954254"/>
    <w:pPr>
      <w:tabs>
        <w:tab w:val="clear" w:pos="567"/>
        <w:tab w:val="left" w:pos="284"/>
      </w:tabs>
      <w:spacing w:before="60" w:after="60"/>
      <w:ind w:left="284" w:hanging="284"/>
    </w:pPr>
  </w:style>
  <w:style w:type="paragraph" w:customStyle="1" w:styleId="2aDeuxiemeretraitfortables">
    <w:name w:val="2a Deuxieme retrait for tables"/>
    <w:basedOn w:val="2Deuximeretrait"/>
    <w:qFormat/>
    <w:rsid w:val="00954254"/>
    <w:pPr>
      <w:tabs>
        <w:tab w:val="clear" w:pos="1134"/>
        <w:tab w:val="left" w:pos="567"/>
      </w:tabs>
      <w:spacing w:before="60" w:after="60"/>
      <w:ind w:left="568" w:hanging="284"/>
    </w:pPr>
  </w:style>
  <w:style w:type="paragraph" w:customStyle="1" w:styleId="3aTroisiemeretraitfortables">
    <w:name w:val="3a Troisieme retrait for tables"/>
    <w:basedOn w:val="3Troisimeretrait"/>
    <w:qFormat/>
    <w:rsid w:val="00954254"/>
    <w:pPr>
      <w:tabs>
        <w:tab w:val="clear" w:pos="1701"/>
        <w:tab w:val="left" w:pos="851"/>
      </w:tabs>
      <w:spacing w:before="60" w:after="60"/>
      <w:ind w:left="1135" w:hanging="284"/>
    </w:pPr>
  </w:style>
  <w:style w:type="table" w:styleId="Grilledutableau">
    <w:name w:val="Table Grid"/>
    <w:basedOn w:val="TableauNormal"/>
    <w:rsid w:val="00BF5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F5DDA"/>
    <w:rPr>
      <w:color w:val="0000FF" w:themeColor="hyperlink"/>
      <w:u w:val="single"/>
    </w:rPr>
  </w:style>
  <w:style w:type="character" w:customStyle="1" w:styleId="NotedebasdepageCar">
    <w:name w:val="Note de bas de page Car"/>
    <w:basedOn w:val="Policepardfaut"/>
    <w:link w:val="Notedebasdepage"/>
    <w:uiPriority w:val="99"/>
    <w:semiHidden/>
    <w:rsid w:val="00C06D46"/>
    <w:rPr>
      <w:rFonts w:ascii="Arial" w:hAnsi="Arial" w:cs="Arial"/>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CEP-CA-Congr&#232;s%20-%20POC-CA-Congress\CEP-CA%20-%20POC-CA\EN%20Models\EN%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PEGASE-7-662905</_dlc_DocId>
    <_dlc_DocIdUrl xmlns="b4ec4095-9810-4e60-b964-3161185fe897">
      <Url>https://pegase.upu.int/_layouts/DocIdRedir.aspx?ID=PEGASE-7-662905</Url>
      <Description>PEGASE-7-662905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AF9BF-B841-495A-B88F-1B465FD93249}">
  <ds:schemaRefs>
    <ds:schemaRef ds:uri="http://schemas.microsoft.com/sharepoint/events"/>
  </ds:schemaRefs>
</ds:datastoreItem>
</file>

<file path=customXml/itemProps2.xml><?xml version="1.0" encoding="utf-8"?>
<ds:datastoreItem xmlns:ds="http://schemas.openxmlformats.org/officeDocument/2006/customXml" ds:itemID="{D0E31800-739B-44A2-9DCE-FF0E7463F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63127C-6EE3-42D0-B095-67EEA2D53A19}">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4ec4095-9810-4e60-b964-3161185fe897"/>
    <ds:schemaRef ds:uri="http://www.w3.org/XML/1998/namespace"/>
  </ds:schemaRefs>
</ds:datastoreItem>
</file>

<file path=customXml/itemProps4.xml><?xml version="1.0" encoding="utf-8"?>
<ds:datastoreItem xmlns:ds="http://schemas.openxmlformats.org/officeDocument/2006/customXml" ds:itemID="{E6B960E7-189E-4E75-924A-E3024B8606D5}">
  <ds:schemaRefs>
    <ds:schemaRef ds:uri="http://schemas.microsoft.com/sharepoint/v3/contenttype/forms"/>
  </ds:schemaRefs>
</ds:datastoreItem>
</file>

<file path=customXml/itemProps5.xml><?xml version="1.0" encoding="utf-8"?>
<ds:datastoreItem xmlns:ds="http://schemas.openxmlformats.org/officeDocument/2006/customXml" ds:itemID="{9E8DB682-2EA6-4F74-AF7C-D77A0E087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doc.dotx</Template>
  <TotalTime>1</TotalTime>
  <Pages>5</Pages>
  <Words>871</Words>
  <Characters>5178</Characters>
  <Application>Microsoft Office Word</Application>
  <DocSecurity>4</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X</vt:lpstr>
      <vt:lpstr>X</vt:lpstr>
    </vt:vector>
  </TitlesOfParts>
  <Company>Union postal universelle (UPU)</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PASQUALOTTO lesley</dc:creator>
  <cp:lastModifiedBy>TOFINO, irene</cp:lastModifiedBy>
  <cp:revision>2</cp:revision>
  <cp:lastPrinted>2018-12-04T14:33:00Z</cp:lastPrinted>
  <dcterms:created xsi:type="dcterms:W3CDTF">2019-11-26T08:32:00Z</dcterms:created>
  <dcterms:modified xsi:type="dcterms:W3CDTF">2019-11-26T08:32:00Z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b4fd341f-5f0e-4c9b-8301-13c292c31af4</vt:lpwstr>
  </property>
</Properties>
</file>