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98FF" w14:textId="77777777" w:rsidR="00266929" w:rsidRPr="008E142B" w:rsidRDefault="00266929" w:rsidP="00266929">
      <w:pPr>
        <w:spacing w:line="240" w:lineRule="auto"/>
        <w:rPr>
          <w:rFonts w:cs="Arial"/>
          <w:sz w:val="24"/>
          <w:szCs w:val="24"/>
          <w:lang w:val="ru-RU" w:eastAsia="zh-CN"/>
        </w:rPr>
      </w:pPr>
    </w:p>
    <w:p w14:paraId="53581F57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76B7347E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6D65ACDF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70A5E4D0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2747FEDE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0095581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5121FAF2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FA501E3" w14:textId="77777777" w:rsidR="00266929" w:rsidRPr="008E142B" w:rsidRDefault="00266929" w:rsidP="00266929">
      <w:pPr>
        <w:pStyle w:val="0Textedebase"/>
        <w:spacing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846317E" w14:textId="77777777" w:rsidR="00266929" w:rsidRPr="008E142B" w:rsidRDefault="00266929" w:rsidP="00266929">
      <w:pPr>
        <w:pStyle w:val="0Textedebase"/>
        <w:spacing w:after="180" w:line="240" w:lineRule="auto"/>
        <w:ind w:left="1418" w:hanging="1418"/>
        <w:rPr>
          <w:rFonts w:cs="Arial"/>
          <w:sz w:val="24"/>
          <w:szCs w:val="24"/>
          <w:lang w:val="ru-RU" w:eastAsia="zh-CN"/>
        </w:rPr>
      </w:pPr>
    </w:p>
    <w:p w14:paraId="15EB8371" w14:textId="21EC543E" w:rsidR="00266929" w:rsidRPr="008E142B" w:rsidRDefault="0001536F" w:rsidP="00266929">
      <w:pPr>
        <w:pStyle w:val="0Textedebase"/>
        <w:spacing w:line="240" w:lineRule="auto"/>
        <w:rPr>
          <w:rFonts w:cs="Arial"/>
          <w:b/>
          <w:bCs/>
          <w:sz w:val="40"/>
          <w:szCs w:val="40"/>
          <w:lang w:val="ru-RU"/>
        </w:rPr>
      </w:pPr>
      <w:r w:rsidRPr="008E142B">
        <w:rPr>
          <w:rFonts w:cs="Arial"/>
          <w:b/>
          <w:bCs/>
          <w:sz w:val="40"/>
          <w:szCs w:val="40"/>
          <w:lang w:val="ru-RU"/>
        </w:rPr>
        <w:t>Конкурс проектов 2025 г.</w:t>
      </w:r>
    </w:p>
    <w:p w14:paraId="071E4991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sz w:val="32"/>
          <w:szCs w:val="32"/>
          <w:lang w:val="ru-RU"/>
        </w:rPr>
      </w:pPr>
    </w:p>
    <w:p w14:paraId="2FF8E60A" w14:textId="357ACD03" w:rsidR="00266929" w:rsidRPr="008E142B" w:rsidRDefault="00266929" w:rsidP="00266929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 w:rsidRPr="008E142B">
        <w:rPr>
          <w:rFonts w:cs="Arial"/>
          <w:b/>
          <w:bCs/>
          <w:sz w:val="32"/>
          <w:szCs w:val="32"/>
          <w:lang w:val="ru-RU"/>
        </w:rPr>
        <w:t xml:space="preserve"> </w:t>
      </w:r>
    </w:p>
    <w:p w14:paraId="1E725580" w14:textId="74D93BA2" w:rsidR="00FE15EC" w:rsidRPr="008E142B" w:rsidRDefault="002D7FA0" w:rsidP="00FE15EC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 w:rsidRPr="008E142B">
        <w:rPr>
          <w:rFonts w:cs="Arial"/>
          <w:b/>
          <w:bCs/>
          <w:sz w:val="32"/>
          <w:szCs w:val="32"/>
          <w:lang w:val="ru-RU"/>
        </w:rPr>
        <w:t>Механизм</w:t>
      </w:r>
      <w:r w:rsidR="0001536F" w:rsidRPr="008E142B">
        <w:rPr>
          <w:rFonts w:cs="Arial"/>
          <w:b/>
          <w:bCs/>
          <w:sz w:val="32"/>
          <w:szCs w:val="32"/>
          <w:lang w:val="ru-RU"/>
        </w:rPr>
        <w:t xml:space="preserve"> технической помощи в </w:t>
      </w:r>
      <w:r w:rsidR="005C360D" w:rsidRPr="008E142B">
        <w:rPr>
          <w:rFonts w:cs="Arial"/>
          <w:b/>
          <w:bCs/>
          <w:sz w:val="32"/>
          <w:szCs w:val="32"/>
          <w:lang w:val="ru-RU"/>
        </w:rPr>
        <w:t>сфере</w:t>
      </w:r>
      <w:r w:rsidR="0001536F" w:rsidRPr="008E142B">
        <w:rPr>
          <w:rFonts w:cs="Arial"/>
          <w:b/>
          <w:bCs/>
          <w:sz w:val="32"/>
          <w:szCs w:val="32"/>
          <w:lang w:val="ru-RU"/>
        </w:rPr>
        <w:t xml:space="preserve"> почтового страхования</w:t>
      </w:r>
      <w:r w:rsidR="00FE15EC" w:rsidRPr="008E142B">
        <w:rPr>
          <w:rFonts w:cs="Arial"/>
          <w:b/>
          <w:bCs/>
          <w:sz w:val="32"/>
          <w:szCs w:val="32"/>
          <w:lang w:val="ru-RU"/>
        </w:rPr>
        <w:t xml:space="preserve"> ВПС (PITAF)</w:t>
      </w:r>
    </w:p>
    <w:p w14:paraId="7A9DE778" w14:textId="2346CCB8" w:rsidR="00266929" w:rsidRPr="008E142B" w:rsidRDefault="00266929" w:rsidP="00266929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</w:p>
    <w:p w14:paraId="16C5DEA2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</w:p>
    <w:p w14:paraId="490727A9" w14:textId="1F8A21C5" w:rsidR="0001536F" w:rsidRPr="008E142B" w:rsidRDefault="0001536F" w:rsidP="0001536F">
      <w:pPr>
        <w:pStyle w:val="0Textedebase"/>
        <w:spacing w:line="240" w:lineRule="auto"/>
        <w:rPr>
          <w:rFonts w:cs="Arial"/>
          <w:b/>
          <w:bCs/>
          <w:sz w:val="32"/>
          <w:szCs w:val="32"/>
          <w:lang w:val="ru-RU"/>
        </w:rPr>
      </w:pPr>
      <w:r w:rsidRPr="008E142B">
        <w:rPr>
          <w:rFonts w:cs="Arial"/>
          <w:b/>
          <w:bCs/>
          <w:sz w:val="32"/>
          <w:szCs w:val="32"/>
          <w:lang w:val="ru-RU"/>
        </w:rPr>
        <w:t xml:space="preserve">Продвижение решений и возможностей почтового инклюзивного страхования </w:t>
      </w:r>
      <w:r w:rsidR="00A105F8" w:rsidRPr="008E142B">
        <w:rPr>
          <w:rFonts w:cs="Arial"/>
          <w:b/>
          <w:bCs/>
          <w:sz w:val="32"/>
          <w:szCs w:val="32"/>
          <w:lang w:val="ru-RU"/>
        </w:rPr>
        <w:t>в целях</w:t>
      </w:r>
      <w:r w:rsidRPr="008E142B">
        <w:rPr>
          <w:rFonts w:cs="Arial"/>
          <w:b/>
          <w:bCs/>
          <w:sz w:val="32"/>
          <w:szCs w:val="32"/>
          <w:lang w:val="ru-RU"/>
        </w:rPr>
        <w:t xml:space="preserve"> повышения финансовой доступности</w:t>
      </w:r>
    </w:p>
    <w:p w14:paraId="238CCB4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B5EBC6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C6FA1C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19F0738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CE4CFB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100F67E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CFD324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87E232A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A17A82B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289B7661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F192B45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339DF39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4D960B78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1042D5DC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F13158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4A2E26F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7990D9E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75AC6254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71451AFC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3293A1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5FA690FF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12C9F502" w14:textId="1FF142DA" w:rsidR="00266929" w:rsidRPr="008E142B" w:rsidRDefault="00183A08" w:rsidP="001F5347">
      <w:pPr>
        <w:autoSpaceDE w:val="0"/>
        <w:autoSpaceDN w:val="0"/>
        <w:adjustRightInd w:val="0"/>
        <w:spacing w:line="240" w:lineRule="auto"/>
        <w:rPr>
          <w:rFonts w:cs="Arial"/>
          <w:lang w:val="ru-RU"/>
        </w:rPr>
      </w:pPr>
      <w:r w:rsidRPr="008E142B">
        <w:rPr>
          <w:sz w:val="32"/>
          <w:szCs w:val="32"/>
          <w:lang w:val="ru-RU"/>
        </w:rPr>
        <w:t>Программа PITAF</w:t>
      </w:r>
    </w:p>
    <w:p w14:paraId="68C90459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02B8B423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sz w:val="32"/>
          <w:szCs w:val="32"/>
          <w:lang w:val="ru-RU"/>
        </w:rPr>
      </w:pPr>
      <w:r w:rsidRPr="008E142B">
        <w:rPr>
          <w:rFonts w:cs="Arial"/>
          <w:sz w:val="32"/>
          <w:szCs w:val="32"/>
          <w:lang w:val="ru-RU"/>
        </w:rPr>
        <w:t>2025</w:t>
      </w:r>
    </w:p>
    <w:p w14:paraId="02E3421D" w14:textId="77777777" w:rsidR="00266929" w:rsidRPr="008E142B" w:rsidRDefault="00266929" w:rsidP="00266929">
      <w:pPr>
        <w:pStyle w:val="0Textedebase"/>
        <w:spacing w:line="240" w:lineRule="auto"/>
        <w:rPr>
          <w:rFonts w:cs="Arial"/>
          <w:lang w:val="ru-RU"/>
        </w:rPr>
      </w:pPr>
    </w:p>
    <w:p w14:paraId="636C0A22" w14:textId="77777777" w:rsidR="00266929" w:rsidRPr="008E142B" w:rsidRDefault="00266929" w:rsidP="00266929">
      <w:pPr>
        <w:spacing w:line="240" w:lineRule="auto"/>
        <w:rPr>
          <w:rFonts w:cs="Arial"/>
          <w:lang w:val="ru-RU"/>
        </w:rPr>
      </w:pPr>
    </w:p>
    <w:p w14:paraId="42CDA2A6" w14:textId="77777777" w:rsidR="00266929" w:rsidRPr="008E142B" w:rsidRDefault="00266929" w:rsidP="00266929">
      <w:pPr>
        <w:spacing w:line="240" w:lineRule="auto"/>
        <w:rPr>
          <w:rFonts w:cs="Arial"/>
          <w:lang w:val="ru-RU" w:eastAsia="en-US"/>
        </w:rPr>
      </w:pPr>
      <w:r w:rsidRPr="008E142B">
        <w:rPr>
          <w:rFonts w:cs="Arial"/>
          <w:lang w:val="ru-RU"/>
        </w:rPr>
        <w:br w:type="page"/>
      </w:r>
    </w:p>
    <w:p w14:paraId="65E58681" w14:textId="4D4E8982" w:rsidR="00266929" w:rsidRPr="008E142B" w:rsidRDefault="00183A08" w:rsidP="00266929">
      <w:pPr>
        <w:pStyle w:val="TOC2"/>
        <w:spacing w:line="240" w:lineRule="auto"/>
        <w:rPr>
          <w:noProof w:val="0"/>
          <w:lang w:val="ru-RU"/>
        </w:rPr>
      </w:pPr>
      <w:r w:rsidRPr="008E142B">
        <w:rPr>
          <w:b/>
          <w:bCs/>
          <w:noProof w:val="0"/>
          <w:lang w:val="ru-RU"/>
        </w:rPr>
        <w:lastRenderedPageBreak/>
        <w:t xml:space="preserve">Содержание </w:t>
      </w:r>
      <w:r w:rsidR="00266929" w:rsidRPr="008E142B">
        <w:rPr>
          <w:noProof w:val="0"/>
          <w:lang w:val="ru-RU"/>
        </w:rPr>
        <w:tab/>
      </w:r>
      <w:bookmarkStart w:id="0" w:name="_Toc356279529"/>
      <w:r w:rsidR="008E142B">
        <w:rPr>
          <w:noProof w:val="0"/>
          <w:lang w:val="ru-RU"/>
        </w:rPr>
        <w:t>Стр.</w:t>
      </w:r>
    </w:p>
    <w:bookmarkEnd w:id="0" w:displacedByCustomXml="next"/>
    <w:sdt>
      <w:sdtPr>
        <w:rPr>
          <w:rFonts w:ascii="Arial" w:eastAsia="Times New Roman" w:hAnsi="Arial" w:cs="Arial"/>
          <w:color w:val="auto"/>
          <w:sz w:val="20"/>
          <w:szCs w:val="20"/>
          <w:lang w:val="ru-RU" w:eastAsia="fr-CH"/>
        </w:rPr>
        <w:id w:val="-5726619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5F8A7" w14:textId="77777777" w:rsidR="00266929" w:rsidRPr="008E142B" w:rsidRDefault="00266929" w:rsidP="00266929">
          <w:pPr>
            <w:pStyle w:val="TOCHeading"/>
            <w:keepNext w:val="0"/>
            <w:keepLines w:val="0"/>
            <w:spacing w:before="0" w:line="240" w:lineRule="auto"/>
            <w:rPr>
              <w:rFonts w:ascii="Arial" w:hAnsi="Arial" w:cs="Arial"/>
              <w:color w:val="auto"/>
              <w:sz w:val="20"/>
              <w:szCs w:val="20"/>
              <w:lang w:val="ru-RU"/>
            </w:rPr>
          </w:pPr>
        </w:p>
        <w:p w14:paraId="5CD46FA1" w14:textId="4BAF8DC3" w:rsidR="002F7C86" w:rsidRPr="008E142B" w:rsidRDefault="00266929">
          <w:pPr>
            <w:pStyle w:val="TOC1"/>
            <w:rPr>
              <w:rStyle w:val="Hyperlink"/>
              <w:lang w:val="ru-RU"/>
            </w:rPr>
          </w:pPr>
          <w:r w:rsidRPr="008E142B">
            <w:rPr>
              <w:noProof w:val="0"/>
              <w:lang w:val="ru-RU"/>
            </w:rPr>
            <w:fldChar w:fldCharType="begin"/>
          </w:r>
          <w:r w:rsidRPr="008E142B">
            <w:rPr>
              <w:noProof w:val="0"/>
              <w:lang w:val="ru-RU"/>
            </w:rPr>
            <w:instrText xml:space="preserve"> TOC \o "1-3" \h \z \u </w:instrText>
          </w:r>
          <w:r w:rsidRPr="008E142B">
            <w:rPr>
              <w:noProof w:val="0"/>
              <w:lang w:val="ru-RU"/>
            </w:rPr>
            <w:fldChar w:fldCharType="separate"/>
          </w:r>
          <w:hyperlink w:anchor="_Toc202952500" w:history="1">
            <w:r w:rsidR="002F7C86" w:rsidRPr="008E142B">
              <w:rPr>
                <w:rStyle w:val="Hyperlink"/>
                <w:lang w:val="ru-RU"/>
              </w:rPr>
              <w:t>1.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Hyperlink"/>
                <w:lang w:val="ru-RU"/>
              </w:rPr>
              <w:t>Общие сведения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_Toc202952500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3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A2FD9DF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5CCB4F59" w14:textId="472BD030" w:rsidR="002F7C86" w:rsidRPr="008E142B" w:rsidRDefault="00602A6B">
          <w:pPr>
            <w:pStyle w:val="TOC1"/>
            <w:rPr>
              <w:rStyle w:val="Hyperlink"/>
              <w:lang w:val="ru-RU"/>
            </w:rPr>
          </w:pPr>
          <w:hyperlink w:anchor="_Toc202952501" w:history="1">
            <w:r w:rsidR="002F7C86" w:rsidRPr="008E142B">
              <w:rPr>
                <w:rStyle w:val="Hyperlink"/>
                <w:lang w:val="ru-RU"/>
              </w:rPr>
              <w:t>2.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Hyperlink"/>
                <w:lang w:val="ru-RU"/>
              </w:rPr>
              <w:t>Цели и задачи проектов, отвечающих соответствующим критериям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_Toc202952501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3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50E9D9C1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7EAFFDB1" w14:textId="30C387E5" w:rsidR="002F7C86" w:rsidRPr="008E142B" w:rsidRDefault="00602A6B">
          <w:pPr>
            <w:pStyle w:val="TOC1"/>
            <w:rPr>
              <w:rStyle w:val="Hyperlink"/>
              <w:lang w:val="ru-RU"/>
            </w:rPr>
          </w:pPr>
          <w:hyperlink w:anchor="_Toc202952502" w:history="1">
            <w:r w:rsidR="002F7C86" w:rsidRPr="008E142B">
              <w:rPr>
                <w:rStyle w:val="Hyperlink"/>
                <w:lang w:val="ru-RU"/>
              </w:rPr>
              <w:t>3.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Hyperlink"/>
                <w:lang w:val="ru-RU"/>
              </w:rPr>
              <w:t>Оценка и отбор предложений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_Toc202952502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4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FF427FC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40A472E0" w14:textId="459E8E84" w:rsidR="002F7C86" w:rsidRPr="008E142B" w:rsidRDefault="00602A6B">
          <w:pPr>
            <w:pStyle w:val="TOC1"/>
            <w:rPr>
              <w:rStyle w:val="Hyperlink"/>
              <w:lang w:val="ru-RU"/>
            </w:rPr>
          </w:pPr>
          <w:hyperlink w:anchor="_Toc202952503" w:history="1">
            <w:r w:rsidR="002F7C86" w:rsidRPr="008E142B">
              <w:rPr>
                <w:rStyle w:val="Hyperlink"/>
                <w:lang w:val="ru-RU"/>
              </w:rPr>
              <w:t>4.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Hyperlink"/>
                <w:lang w:val="ru-RU"/>
              </w:rPr>
              <w:t>Принципы финансирования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_Toc202952503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5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3DBEDC7F" w14:textId="77777777" w:rsidR="002F7C86" w:rsidRPr="008E142B" w:rsidRDefault="002F7C86" w:rsidP="002F7C86">
          <w:pPr>
            <w:rPr>
              <w:rFonts w:eastAsiaTheme="minorEastAsia"/>
              <w:noProof/>
              <w:lang w:val="ru-RU" w:eastAsia="en-US"/>
            </w:rPr>
          </w:pPr>
        </w:p>
        <w:p w14:paraId="7FD7D3B6" w14:textId="0E67802C" w:rsidR="002F7C86" w:rsidRPr="008E142B" w:rsidRDefault="00602A6B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ru-RU" w:eastAsia="ru-RU"/>
            </w:rPr>
          </w:pPr>
          <w:hyperlink w:anchor="_Toc202952504" w:history="1">
            <w:r w:rsidR="002F7C86" w:rsidRPr="008E142B">
              <w:rPr>
                <w:rStyle w:val="Hyperlink"/>
                <w:lang w:val="ru-RU"/>
              </w:rPr>
              <w:t>5.</w:t>
            </w:r>
            <w:r w:rsidR="002F7C86" w:rsidRPr="008E142B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ab/>
            </w:r>
            <w:r w:rsidR="002F7C86" w:rsidRPr="008E142B">
              <w:rPr>
                <w:rStyle w:val="Hyperlink"/>
                <w:lang w:val="ru-RU"/>
              </w:rPr>
              <w:t>Процедура подачи заявки</w:t>
            </w:r>
            <w:r w:rsidR="002F7C86" w:rsidRPr="008E142B">
              <w:rPr>
                <w:webHidden/>
                <w:lang w:val="ru-RU"/>
              </w:rPr>
              <w:tab/>
            </w:r>
            <w:r w:rsidR="002F7C86" w:rsidRPr="008E142B">
              <w:rPr>
                <w:webHidden/>
                <w:lang w:val="ru-RU"/>
              </w:rPr>
              <w:fldChar w:fldCharType="begin"/>
            </w:r>
            <w:r w:rsidR="002F7C86" w:rsidRPr="008E142B">
              <w:rPr>
                <w:webHidden/>
                <w:lang w:val="ru-RU"/>
              </w:rPr>
              <w:instrText xml:space="preserve"> PAGEREF _Toc202952504 \h </w:instrText>
            </w:r>
            <w:r w:rsidR="002F7C86" w:rsidRPr="008E142B">
              <w:rPr>
                <w:webHidden/>
                <w:lang w:val="ru-RU"/>
              </w:rPr>
            </w:r>
            <w:r w:rsidR="002F7C86" w:rsidRPr="008E142B">
              <w:rPr>
                <w:webHidden/>
                <w:lang w:val="ru-RU"/>
              </w:rPr>
              <w:fldChar w:fldCharType="separate"/>
            </w:r>
            <w:r w:rsidR="008E142B">
              <w:rPr>
                <w:webHidden/>
                <w:lang w:val="ru-RU"/>
              </w:rPr>
              <w:t>6</w:t>
            </w:r>
            <w:r w:rsidR="002F7C86" w:rsidRPr="008E142B">
              <w:rPr>
                <w:webHidden/>
                <w:lang w:val="ru-RU"/>
              </w:rPr>
              <w:fldChar w:fldCharType="end"/>
            </w:r>
          </w:hyperlink>
        </w:p>
        <w:p w14:paraId="249A5C08" w14:textId="1323BB48" w:rsidR="00266929" w:rsidRPr="008E142B" w:rsidRDefault="00266929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b/>
              <w:bCs/>
              <w:lang w:val="ru-RU"/>
            </w:rPr>
            <w:fldChar w:fldCharType="end"/>
          </w:r>
        </w:p>
        <w:p w14:paraId="50C97094" w14:textId="09DB2323" w:rsidR="00266929" w:rsidRPr="008E142B" w:rsidRDefault="002F7C86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b/>
              <w:bCs/>
              <w:lang w:val="ru-RU"/>
            </w:rPr>
            <w:t>Приложения</w:t>
          </w:r>
        </w:p>
        <w:p w14:paraId="5AF0B727" w14:textId="77777777" w:rsidR="00266929" w:rsidRPr="008E142B" w:rsidRDefault="00266929" w:rsidP="00266929">
          <w:pPr>
            <w:spacing w:line="240" w:lineRule="auto"/>
            <w:rPr>
              <w:rFonts w:cs="Arial"/>
              <w:lang w:val="ru-RU"/>
            </w:rPr>
          </w:pPr>
        </w:p>
        <w:p w14:paraId="5FAF47C1" w14:textId="565449F1" w:rsidR="00266929" w:rsidRPr="008E142B" w:rsidRDefault="002F7C86" w:rsidP="00266929">
          <w:pPr>
            <w:spacing w:line="240" w:lineRule="auto"/>
            <w:rPr>
              <w:rFonts w:cs="Arial"/>
              <w:lang w:val="ru-RU"/>
            </w:rPr>
          </w:pPr>
          <w:r w:rsidRPr="008E142B">
            <w:rPr>
              <w:rFonts w:cs="Arial"/>
              <w:lang w:val="ru-RU"/>
            </w:rPr>
            <w:t>Приложение</w:t>
          </w:r>
          <w:r w:rsidR="00266929" w:rsidRPr="008E142B">
            <w:rPr>
              <w:rFonts w:cs="Arial"/>
              <w:lang w:val="ru-RU"/>
            </w:rPr>
            <w:t xml:space="preserve"> 1: </w:t>
          </w:r>
          <w:r w:rsidR="001F5C85" w:rsidRPr="008E142B">
            <w:rPr>
              <w:rFonts w:cs="Arial"/>
              <w:lang w:val="ru-RU"/>
            </w:rPr>
            <w:t>Бланк проектного предложения</w:t>
          </w:r>
        </w:p>
        <w:p w14:paraId="6260A93A" w14:textId="77777777" w:rsidR="00266929" w:rsidRPr="008E142B" w:rsidRDefault="00266929" w:rsidP="00266929">
          <w:pPr>
            <w:spacing w:line="240" w:lineRule="auto"/>
            <w:rPr>
              <w:rFonts w:cs="Arial"/>
              <w:lang w:val="ru-RU"/>
            </w:rPr>
          </w:pPr>
        </w:p>
        <w:p w14:paraId="31490869" w14:textId="3ECAEA43" w:rsidR="00266929" w:rsidRPr="008E142B" w:rsidRDefault="002F7C86" w:rsidP="00266929">
          <w:pPr>
            <w:spacing w:line="240" w:lineRule="auto"/>
            <w:rPr>
              <w:rFonts w:cs="Arial"/>
              <w:b/>
              <w:bCs/>
              <w:lang w:val="ru-RU"/>
            </w:rPr>
          </w:pPr>
          <w:r w:rsidRPr="008E142B">
            <w:rPr>
              <w:rFonts w:cs="Arial"/>
              <w:lang w:val="ru-RU"/>
            </w:rPr>
            <w:t>Приложение</w:t>
          </w:r>
          <w:r w:rsidR="00266929" w:rsidRPr="008E142B">
            <w:rPr>
              <w:rFonts w:cs="Arial"/>
              <w:lang w:val="ru-RU"/>
            </w:rPr>
            <w:t xml:space="preserve"> 2: </w:t>
          </w:r>
          <w:r w:rsidR="001F5C85" w:rsidRPr="008E142B">
            <w:rPr>
              <w:rFonts w:cs="Arial"/>
              <w:lang w:val="ru-RU"/>
            </w:rPr>
            <w:t>Бланк бюджета проекта</w:t>
          </w:r>
        </w:p>
      </w:sdtContent>
    </w:sdt>
    <w:p w14:paraId="59D48507" w14:textId="77777777" w:rsidR="00266929" w:rsidRPr="008E142B" w:rsidRDefault="00266929" w:rsidP="00266929">
      <w:pPr>
        <w:spacing w:line="240" w:lineRule="auto"/>
        <w:rPr>
          <w:rFonts w:cs="Arial"/>
          <w:b/>
          <w:bCs/>
          <w:lang w:val="ru-RU"/>
        </w:rPr>
      </w:pPr>
      <w:bookmarkStart w:id="1" w:name="_Toc20148258"/>
      <w:bookmarkStart w:id="2" w:name="_Toc153073158"/>
      <w:bookmarkStart w:id="3" w:name="_Ref526581552"/>
      <w:bookmarkStart w:id="4" w:name="_Toc332966896"/>
      <w:bookmarkStart w:id="5" w:name="_Toc43914694"/>
      <w:bookmarkStart w:id="6" w:name="_Toc59526402"/>
      <w:bookmarkStart w:id="7" w:name="DDE_LINK2"/>
      <w:r w:rsidRPr="008E142B">
        <w:rPr>
          <w:rFonts w:cs="Arial"/>
          <w:lang w:val="ru-RU"/>
        </w:rPr>
        <w:br w:type="page"/>
      </w:r>
    </w:p>
    <w:p w14:paraId="49003210" w14:textId="70262040" w:rsidR="00266929" w:rsidRPr="008E142B" w:rsidRDefault="009601F5" w:rsidP="00266929">
      <w:pPr>
        <w:pStyle w:val="Heading1"/>
        <w:numPr>
          <w:ilvl w:val="0"/>
          <w:numId w:val="33"/>
        </w:numPr>
        <w:spacing w:line="240" w:lineRule="auto"/>
        <w:rPr>
          <w:rFonts w:cs="Arial"/>
          <w:lang w:val="ru-RU"/>
        </w:rPr>
      </w:pPr>
      <w:bookmarkStart w:id="8" w:name="_Toc202952500"/>
      <w:bookmarkStart w:id="9" w:name="_Toc153073159"/>
      <w:bookmarkStart w:id="10" w:name="_Toc435926701"/>
      <w:bookmarkEnd w:id="1"/>
      <w:bookmarkEnd w:id="2"/>
      <w:bookmarkEnd w:id="3"/>
      <w:bookmarkEnd w:id="4"/>
      <w:bookmarkEnd w:id="5"/>
      <w:bookmarkEnd w:id="6"/>
      <w:r w:rsidRPr="008E142B">
        <w:rPr>
          <w:rFonts w:cs="Arial"/>
          <w:lang w:val="ru-RU"/>
        </w:rPr>
        <w:lastRenderedPageBreak/>
        <w:t>Общие сведения</w:t>
      </w:r>
      <w:bookmarkEnd w:id="8"/>
    </w:p>
    <w:bookmarkEnd w:id="9"/>
    <w:bookmarkEnd w:id="10"/>
    <w:p w14:paraId="278D6575" w14:textId="77777777" w:rsidR="00266929" w:rsidRPr="008E142B" w:rsidRDefault="00266929" w:rsidP="00266929">
      <w:pPr>
        <w:spacing w:line="240" w:lineRule="auto"/>
        <w:rPr>
          <w:rFonts w:cs="Arial"/>
          <w:lang w:val="ru-RU"/>
        </w:rPr>
      </w:pPr>
    </w:p>
    <w:p w14:paraId="767A0494" w14:textId="1DFBFD59" w:rsidR="00266929" w:rsidRPr="008E142B" w:rsidRDefault="009601F5" w:rsidP="00266929">
      <w:pPr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Назначенные операторы (НО) традиционно являются активными игроками в сфере расширения доступа к финансовым услугам, используя свою обширную физическую сеть, близость к населению и многолетний опыт в предоставлении финансовых услуг. Почтовые сети решают вопросы доступности, </w:t>
      </w:r>
      <w:r w:rsidR="00B008EC" w:rsidRPr="008E142B">
        <w:rPr>
          <w:rFonts w:cs="Arial"/>
          <w:lang w:val="ru-RU"/>
        </w:rPr>
        <w:t>ценовой доступности</w:t>
      </w:r>
      <w:r w:rsidRPr="008E142B">
        <w:rPr>
          <w:rFonts w:cs="Arial"/>
          <w:lang w:val="ru-RU"/>
        </w:rPr>
        <w:t xml:space="preserve"> и доверия и </w:t>
      </w:r>
      <w:r w:rsidR="00B008EC" w:rsidRPr="008E142B">
        <w:rPr>
          <w:rFonts w:cs="Arial"/>
          <w:lang w:val="ru-RU"/>
        </w:rPr>
        <w:t>имеют потенциал, чтобы</w:t>
      </w:r>
      <w:r w:rsidRPr="008E142B">
        <w:rPr>
          <w:rFonts w:cs="Arial"/>
          <w:lang w:val="ru-RU"/>
        </w:rPr>
        <w:t xml:space="preserve"> стать </w:t>
      </w:r>
      <w:r w:rsidR="00B008EC" w:rsidRPr="008E142B">
        <w:rPr>
          <w:rFonts w:cs="Arial"/>
          <w:lang w:val="ru-RU"/>
        </w:rPr>
        <w:t>оптимальными</w:t>
      </w:r>
      <w:r w:rsidRPr="008E142B">
        <w:rPr>
          <w:rFonts w:cs="Arial"/>
          <w:lang w:val="ru-RU"/>
        </w:rPr>
        <w:t xml:space="preserve"> каналами для предоставления доступа к цифровым финансовым и страховым решениям либо в качестве </w:t>
      </w:r>
      <w:r w:rsidR="00E54ABF" w:rsidRPr="008E142B">
        <w:rPr>
          <w:rFonts w:cs="Arial"/>
          <w:lang w:val="ru-RU"/>
        </w:rPr>
        <w:t>независимых</w:t>
      </w:r>
      <w:r w:rsidRPr="008E142B">
        <w:rPr>
          <w:rFonts w:cs="Arial"/>
          <w:lang w:val="ru-RU"/>
        </w:rPr>
        <w:t xml:space="preserve"> поставщиков, либо в рамках партнерских отношений.</w:t>
      </w:r>
    </w:p>
    <w:p w14:paraId="420EA21E" w14:textId="77777777" w:rsidR="00266929" w:rsidRPr="008E142B" w:rsidRDefault="00266929" w:rsidP="00266929">
      <w:pPr>
        <w:spacing w:line="240" w:lineRule="auto"/>
        <w:jc w:val="both"/>
        <w:rPr>
          <w:rFonts w:cs="Arial"/>
          <w:lang w:val="ru-RU"/>
        </w:rPr>
      </w:pPr>
    </w:p>
    <w:p w14:paraId="0D7D843F" w14:textId="6536ED88" w:rsidR="00266929" w:rsidRPr="008E142B" w:rsidRDefault="00E54ABF" w:rsidP="00266929">
      <w:pPr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В соответствии со своими четырьмя основными принципами расширения доступа к финансовым услугам – цифровые платежи, цифровые сбережения, инклюзивное страхование и микрофинансирование – ВПС добивается дальнейшего развития партнерского взаимодействия и сотрудничества в области цифрового страхования для поддержки национальных целей </w:t>
      </w:r>
      <w:r w:rsidR="001955CD" w:rsidRPr="008E142B">
        <w:rPr>
          <w:rFonts w:cs="Arial"/>
          <w:lang w:val="ru-RU"/>
        </w:rPr>
        <w:t xml:space="preserve">по </w:t>
      </w:r>
      <w:r w:rsidRPr="008E142B">
        <w:rPr>
          <w:rFonts w:cs="Arial"/>
          <w:lang w:val="ru-RU"/>
        </w:rPr>
        <w:t>расширени</w:t>
      </w:r>
      <w:r w:rsidR="001955CD" w:rsidRPr="008E142B">
        <w:rPr>
          <w:rFonts w:cs="Arial"/>
          <w:lang w:val="ru-RU"/>
        </w:rPr>
        <w:t>ю</w:t>
      </w:r>
      <w:r w:rsidRPr="008E142B">
        <w:rPr>
          <w:rFonts w:cs="Arial"/>
          <w:lang w:val="ru-RU"/>
        </w:rPr>
        <w:t xml:space="preserve"> доступа к финансовым услугам в странах-членах. Недавно ВПС и AXA SA (AXA) завершили глобальное исследование, посвященное внедрению и расширению услуг почтового инклюзивного страхования в рамках сети ВПС. В ходе исследования были </w:t>
      </w:r>
      <w:r w:rsidR="003E3670" w:rsidRPr="008E142B">
        <w:rPr>
          <w:rFonts w:cs="Arial"/>
          <w:lang w:val="ru-RU"/>
        </w:rPr>
        <w:t>определены</w:t>
      </w:r>
      <w:r w:rsidRPr="008E142B">
        <w:rPr>
          <w:rFonts w:cs="Arial"/>
          <w:lang w:val="ru-RU"/>
        </w:rPr>
        <w:t xml:space="preserve"> ключевые </w:t>
      </w:r>
      <w:r w:rsidR="001955CD" w:rsidRPr="008E142B">
        <w:rPr>
          <w:rFonts w:cs="Arial"/>
          <w:lang w:val="ru-RU"/>
        </w:rPr>
        <w:t>важные</w:t>
      </w:r>
      <w:r w:rsidRPr="008E142B">
        <w:rPr>
          <w:rFonts w:cs="Arial"/>
          <w:lang w:val="ru-RU"/>
        </w:rPr>
        <w:t xml:space="preserve"> </w:t>
      </w:r>
      <w:r w:rsidR="001955CD" w:rsidRPr="008E142B">
        <w:rPr>
          <w:rFonts w:cs="Arial"/>
          <w:lang w:val="ru-RU"/>
        </w:rPr>
        <w:t>выводы</w:t>
      </w:r>
      <w:r w:rsidRPr="008E142B">
        <w:rPr>
          <w:rFonts w:cs="Arial"/>
          <w:lang w:val="ru-RU"/>
        </w:rPr>
        <w:t>, операционные модели, информация о клиентах и лучшие практики, которые были собраны на шести мировых почтовых рынках, где существуют решения</w:t>
      </w:r>
      <w:r w:rsidR="001955CD" w:rsidRPr="008E142B">
        <w:rPr>
          <w:rFonts w:cs="Arial"/>
          <w:lang w:val="ru-RU"/>
        </w:rPr>
        <w:t xml:space="preserve"> в области почтового инклюзивного страхования</w:t>
      </w:r>
      <w:r w:rsidRPr="008E142B">
        <w:rPr>
          <w:rFonts w:cs="Arial"/>
          <w:lang w:val="ru-RU"/>
        </w:rPr>
        <w:t>. (</w:t>
      </w:r>
      <w:hyperlink r:id="rId10" w:history="1">
        <w:r w:rsidR="00602A6B" w:rsidRPr="007E0F4E">
          <w:rPr>
            <w:rStyle w:val="Hyperlink"/>
            <w:rFonts w:cs="Arial"/>
          </w:rPr>
          <w:t>https</w:t>
        </w:r>
        <w:r w:rsidR="00602A6B" w:rsidRPr="00602A6B">
          <w:rPr>
            <w:rStyle w:val="Hyperlink"/>
            <w:rFonts w:cs="Arial"/>
            <w:lang w:val="ru-RU"/>
          </w:rPr>
          <w:t>://</w:t>
        </w:r>
        <w:r w:rsidR="00602A6B" w:rsidRPr="007E0F4E">
          <w:rPr>
            <w:rStyle w:val="Hyperlink"/>
            <w:rFonts w:cs="Arial"/>
          </w:rPr>
          <w:t>www</w:t>
        </w:r>
        <w:r w:rsidR="00602A6B" w:rsidRPr="00602A6B">
          <w:rPr>
            <w:rStyle w:val="Hyperlink"/>
            <w:rFonts w:cs="Arial"/>
            <w:lang w:val="ru-RU"/>
          </w:rPr>
          <w:t>.</w:t>
        </w:r>
        <w:r w:rsidR="00602A6B" w:rsidRPr="007E0F4E">
          <w:rPr>
            <w:rStyle w:val="Hyperlink"/>
            <w:rFonts w:cs="Arial"/>
          </w:rPr>
          <w:t>upu</w:t>
        </w:r>
        <w:r w:rsidR="00602A6B" w:rsidRPr="00602A6B">
          <w:rPr>
            <w:rStyle w:val="Hyperlink"/>
            <w:rFonts w:cs="Arial"/>
            <w:lang w:val="ru-RU"/>
          </w:rPr>
          <w:t>.</w:t>
        </w:r>
        <w:r w:rsidR="00602A6B" w:rsidRPr="007E0F4E">
          <w:rPr>
            <w:rStyle w:val="Hyperlink"/>
            <w:rFonts w:cs="Arial"/>
          </w:rPr>
          <w:t>int</w:t>
        </w:r>
        <w:r w:rsidR="00602A6B" w:rsidRPr="00602A6B">
          <w:rPr>
            <w:rStyle w:val="Hyperlink"/>
            <w:rFonts w:cs="Arial"/>
            <w:lang w:val="ru-RU"/>
          </w:rPr>
          <w:t>/</w:t>
        </w:r>
        <w:r w:rsidR="00602A6B" w:rsidRPr="007E0F4E">
          <w:rPr>
            <w:rStyle w:val="Hyperlink"/>
            <w:rFonts w:cs="Arial"/>
          </w:rPr>
          <w:t>en</w:t>
        </w:r>
        <w:r w:rsidR="00602A6B" w:rsidRPr="00602A6B">
          <w:rPr>
            <w:rStyle w:val="Hyperlink"/>
            <w:rFonts w:cs="Arial"/>
            <w:lang w:val="ru-RU"/>
          </w:rPr>
          <w:t>/</w:t>
        </w:r>
        <w:r w:rsidR="00602A6B" w:rsidRPr="007E0F4E">
          <w:rPr>
            <w:rStyle w:val="Hyperlink"/>
            <w:rFonts w:cs="Arial"/>
          </w:rPr>
          <w:t>publications</w:t>
        </w:r>
        <w:r w:rsidR="00602A6B" w:rsidRPr="00602A6B">
          <w:rPr>
            <w:rStyle w:val="Hyperlink"/>
            <w:rFonts w:cs="Arial"/>
            <w:lang w:val="ru-RU"/>
          </w:rPr>
          <w:t>/</w:t>
        </w:r>
        <w:r w:rsidR="00602A6B" w:rsidRPr="007E0F4E">
          <w:rPr>
            <w:rStyle w:val="Hyperlink"/>
            <w:rFonts w:cs="Arial"/>
          </w:rPr>
          <w:t>financial</w:t>
        </w:r>
        <w:r w:rsidR="00602A6B" w:rsidRPr="00602A6B">
          <w:rPr>
            <w:rStyle w:val="Hyperlink"/>
            <w:rFonts w:cs="Arial"/>
            <w:lang w:val="ru-RU"/>
          </w:rPr>
          <w:t>-</w:t>
        </w:r>
        <w:r w:rsidR="00602A6B" w:rsidRPr="007E0F4E">
          <w:rPr>
            <w:rStyle w:val="Hyperlink"/>
            <w:rFonts w:cs="Arial"/>
          </w:rPr>
          <w:t>inclusion</w:t>
        </w:r>
        <w:r w:rsidR="00602A6B" w:rsidRPr="00602A6B">
          <w:rPr>
            <w:rStyle w:val="Hyperlink"/>
            <w:rFonts w:cs="Arial"/>
            <w:lang w:val="ru-RU"/>
          </w:rPr>
          <w:t>/</w:t>
        </w:r>
        <w:r w:rsidR="00602A6B" w:rsidRPr="007E0F4E">
          <w:rPr>
            <w:rStyle w:val="Hyperlink"/>
            <w:rFonts w:cs="Arial"/>
          </w:rPr>
          <w:t>scalingup</w:t>
        </w:r>
        <w:r w:rsidR="00602A6B" w:rsidRPr="00602A6B">
          <w:rPr>
            <w:rStyle w:val="Hyperlink"/>
            <w:rFonts w:cs="Arial"/>
            <w:lang w:val="ru-RU"/>
          </w:rPr>
          <w:t>-</w:t>
        </w:r>
        <w:r w:rsidR="00602A6B" w:rsidRPr="007E0F4E">
          <w:rPr>
            <w:rStyle w:val="Hyperlink"/>
            <w:rFonts w:cs="Arial"/>
          </w:rPr>
          <w:t>postal</w:t>
        </w:r>
        <w:r w:rsidR="00602A6B" w:rsidRPr="00602A6B">
          <w:rPr>
            <w:rStyle w:val="Hyperlink"/>
            <w:rFonts w:cs="Arial"/>
            <w:lang w:val="ru-RU"/>
          </w:rPr>
          <w:t>-</w:t>
        </w:r>
        <w:r w:rsidR="00602A6B" w:rsidRPr="007E0F4E">
          <w:rPr>
            <w:rStyle w:val="Hyperlink"/>
            <w:rFonts w:cs="Arial"/>
          </w:rPr>
          <w:t>inclusive</w:t>
        </w:r>
        <w:r w:rsidR="00602A6B" w:rsidRPr="00602A6B">
          <w:rPr>
            <w:rStyle w:val="Hyperlink"/>
            <w:rFonts w:cs="Arial"/>
            <w:lang w:val="ru-RU"/>
          </w:rPr>
          <w:t>-</w:t>
        </w:r>
        <w:r w:rsidR="00602A6B" w:rsidRPr="007E0F4E">
          <w:rPr>
            <w:rStyle w:val="Hyperlink"/>
            <w:rFonts w:cs="Arial"/>
          </w:rPr>
          <w:t>insurance</w:t>
        </w:r>
      </w:hyperlink>
      <w:r w:rsidRPr="008E142B">
        <w:rPr>
          <w:rFonts w:cs="Arial"/>
          <w:lang w:val="ru-RU"/>
        </w:rPr>
        <w:t>)</w:t>
      </w:r>
      <w:r w:rsidR="008E142B" w:rsidRPr="008E142B">
        <w:rPr>
          <w:rFonts w:cs="Arial"/>
          <w:lang w:val="ru-RU"/>
        </w:rPr>
        <w:t>.</w:t>
      </w:r>
    </w:p>
    <w:p w14:paraId="31159539" w14:textId="77777777" w:rsidR="001955CD" w:rsidRPr="008E142B" w:rsidRDefault="001955CD" w:rsidP="00E54ABF">
      <w:pPr>
        <w:spacing w:line="240" w:lineRule="auto"/>
        <w:jc w:val="both"/>
        <w:rPr>
          <w:rFonts w:cs="Arial"/>
          <w:lang w:val="ru-RU"/>
        </w:rPr>
      </w:pPr>
    </w:p>
    <w:p w14:paraId="7CFF511B" w14:textId="4696C427" w:rsidR="00266929" w:rsidRPr="008E142B" w:rsidRDefault="003E3670" w:rsidP="00266929">
      <w:pPr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Чтобы поддержать результаты и выводы исследования и руководствоваться ими в своей деятельности, ВПС установил рамки для сотрудничества с AXA и CNP Assurances (CNP) с целью создания и запуска </w:t>
      </w:r>
      <w:r w:rsidR="002D7FA0" w:rsidRPr="008E142B">
        <w:rPr>
          <w:rFonts w:cs="Arial"/>
          <w:lang w:val="ru-RU"/>
        </w:rPr>
        <w:t>механизма</w:t>
      </w:r>
      <w:r w:rsidRPr="008E142B">
        <w:rPr>
          <w:rFonts w:cs="Arial"/>
          <w:lang w:val="ru-RU"/>
        </w:rPr>
        <w:t xml:space="preserve"> технической помощи в области почтового страхования (PITAF). Основной целью PITAF является повышение роли НО в предоставлении соответствующих решений и возможностей в сфере страхования своим почтовым клиентам в тесном сотрудничестве с партнерами PITAF, такими как AXA и CNP. Эти игроки частного сектора</w:t>
      </w:r>
      <w:r w:rsidR="00AD5EE3" w:rsidRPr="008E142B">
        <w:rPr>
          <w:rFonts w:cs="Arial"/>
          <w:lang w:val="ru-RU"/>
        </w:rPr>
        <w:t>, которые</w:t>
      </w:r>
      <w:r w:rsidRPr="008E142B">
        <w:rPr>
          <w:rFonts w:cs="Arial"/>
          <w:lang w:val="ru-RU"/>
        </w:rPr>
        <w:t xml:space="preserve"> помогут </w:t>
      </w:r>
      <w:r w:rsidR="009A6FAC" w:rsidRPr="008E142B">
        <w:rPr>
          <w:rFonts w:cs="Arial"/>
          <w:lang w:val="ru-RU"/>
        </w:rPr>
        <w:t>во внедрении</w:t>
      </w:r>
      <w:r w:rsidRPr="008E142B">
        <w:rPr>
          <w:rFonts w:cs="Arial"/>
          <w:lang w:val="ru-RU"/>
        </w:rPr>
        <w:t xml:space="preserve"> </w:t>
      </w:r>
      <w:r w:rsidR="009A6FAC" w:rsidRPr="008E142B">
        <w:rPr>
          <w:rFonts w:cs="Arial"/>
          <w:lang w:val="ru-RU"/>
        </w:rPr>
        <w:t>самых последних новшеств</w:t>
      </w:r>
      <w:r w:rsidRPr="008E142B">
        <w:rPr>
          <w:rFonts w:cs="Arial"/>
          <w:lang w:val="ru-RU"/>
        </w:rPr>
        <w:t>, иде</w:t>
      </w:r>
      <w:r w:rsidR="009A6FAC" w:rsidRPr="008E142B">
        <w:rPr>
          <w:rFonts w:cs="Arial"/>
          <w:lang w:val="ru-RU"/>
        </w:rPr>
        <w:t>й</w:t>
      </w:r>
      <w:r w:rsidRPr="008E142B">
        <w:rPr>
          <w:rFonts w:cs="Arial"/>
          <w:lang w:val="ru-RU"/>
        </w:rPr>
        <w:t xml:space="preserve"> и модел</w:t>
      </w:r>
      <w:r w:rsidR="009A6FAC" w:rsidRPr="008E142B">
        <w:rPr>
          <w:rFonts w:cs="Arial"/>
          <w:lang w:val="ru-RU"/>
        </w:rPr>
        <w:t>ей</w:t>
      </w:r>
      <w:r w:rsidRPr="008E142B">
        <w:rPr>
          <w:rFonts w:cs="Arial"/>
          <w:lang w:val="ru-RU"/>
        </w:rPr>
        <w:t xml:space="preserve"> вариантов защиты, связанных с почтовым страхованием, в поддержку </w:t>
      </w:r>
      <w:r w:rsidR="009A6FAC" w:rsidRPr="008E142B">
        <w:rPr>
          <w:rFonts w:cs="Arial"/>
          <w:lang w:val="ru-RU"/>
        </w:rPr>
        <w:t>реализации</w:t>
      </w:r>
      <w:r w:rsidRPr="008E142B">
        <w:rPr>
          <w:rFonts w:cs="Arial"/>
          <w:lang w:val="ru-RU"/>
        </w:rPr>
        <w:t xml:space="preserve"> </w:t>
      </w:r>
      <w:r w:rsidR="009A6FAC" w:rsidRPr="008E142B">
        <w:rPr>
          <w:rFonts w:cs="Arial"/>
          <w:lang w:val="ru-RU"/>
        </w:rPr>
        <w:t>инклюзивных</w:t>
      </w:r>
      <w:r w:rsidRPr="008E142B">
        <w:rPr>
          <w:rFonts w:cs="Arial"/>
          <w:lang w:val="ru-RU"/>
        </w:rPr>
        <w:t xml:space="preserve"> страховых решений в </w:t>
      </w:r>
      <w:r w:rsidR="009A6FAC" w:rsidRPr="008E142B">
        <w:rPr>
          <w:rFonts w:cs="Arial"/>
          <w:lang w:val="ru-RU"/>
        </w:rPr>
        <w:t xml:space="preserve">рамках </w:t>
      </w:r>
      <w:r w:rsidRPr="008E142B">
        <w:rPr>
          <w:rFonts w:cs="Arial"/>
          <w:lang w:val="ru-RU"/>
        </w:rPr>
        <w:t>почтовых сет</w:t>
      </w:r>
      <w:r w:rsidR="009A6FAC" w:rsidRPr="008E142B">
        <w:rPr>
          <w:rFonts w:cs="Arial"/>
          <w:lang w:val="ru-RU"/>
        </w:rPr>
        <w:t>ей</w:t>
      </w:r>
      <w:r w:rsidRPr="008E142B">
        <w:rPr>
          <w:rFonts w:cs="Arial"/>
          <w:lang w:val="ru-RU"/>
        </w:rPr>
        <w:t>.</w:t>
      </w:r>
    </w:p>
    <w:p w14:paraId="49F0DAFC" w14:textId="77777777" w:rsidR="003E3670" w:rsidRPr="008E142B" w:rsidRDefault="003E3670" w:rsidP="00266929">
      <w:pPr>
        <w:spacing w:line="240" w:lineRule="auto"/>
        <w:jc w:val="both"/>
        <w:rPr>
          <w:rFonts w:cs="Arial"/>
          <w:lang w:val="ru-RU"/>
        </w:rPr>
      </w:pPr>
    </w:p>
    <w:p w14:paraId="07421CC2" w14:textId="07A887D6" w:rsidR="00266929" w:rsidRPr="008E142B" w:rsidRDefault="00136C86" w:rsidP="00266929">
      <w:pPr>
        <w:pStyle w:val="0Textedebase"/>
        <w:spacing w:line="240" w:lineRule="auto"/>
        <w:rPr>
          <w:rFonts w:cs="Arial"/>
          <w:lang w:val="ru-RU"/>
        </w:rPr>
      </w:pPr>
      <w:bookmarkStart w:id="11" w:name="_Toc153073160"/>
      <w:bookmarkStart w:id="12" w:name="_Toc528119904"/>
      <w:bookmarkStart w:id="13" w:name="_Toc435926735"/>
      <w:bookmarkStart w:id="14" w:name="_Toc435926733"/>
      <w:bookmarkStart w:id="15" w:name="_Ref526321031"/>
      <w:r w:rsidRPr="008E142B">
        <w:rPr>
          <w:rFonts w:cs="Arial"/>
          <w:lang w:val="ru-RU"/>
        </w:rPr>
        <w:t xml:space="preserve">ВПС предлагает </w:t>
      </w:r>
      <w:r w:rsidR="00F162CF" w:rsidRPr="008E142B">
        <w:rPr>
          <w:rFonts w:cs="Arial"/>
          <w:lang w:val="ru-RU"/>
        </w:rPr>
        <w:t>назначенным операторам</w:t>
      </w:r>
      <w:r w:rsidR="00F63FC4">
        <w:rPr>
          <w:rFonts w:cs="Arial"/>
          <w:lang w:val="ru-RU"/>
        </w:rPr>
        <w:t xml:space="preserve"> стран-</w:t>
      </w:r>
      <w:r w:rsidRPr="008E142B">
        <w:rPr>
          <w:rFonts w:cs="Arial"/>
          <w:lang w:val="ru-RU"/>
        </w:rPr>
        <w:t xml:space="preserve">членов ВПС возможность подать заявку на получение одного из грантов программы PITAF. Программа PITAF обеспечит начальное финансирование и практическую поддержку, </w:t>
      </w:r>
      <w:r w:rsidR="0015734D" w:rsidRPr="008E142B">
        <w:rPr>
          <w:rFonts w:cs="Arial"/>
          <w:lang w:val="ru-RU"/>
        </w:rPr>
        <w:t>направленную на</w:t>
      </w:r>
      <w:r w:rsidRPr="008E142B">
        <w:rPr>
          <w:rFonts w:cs="Arial"/>
          <w:lang w:val="ru-RU"/>
        </w:rPr>
        <w:t xml:space="preserve"> </w:t>
      </w:r>
      <w:r w:rsidR="0015734D" w:rsidRPr="008E142B">
        <w:rPr>
          <w:rFonts w:cs="Arial"/>
          <w:lang w:val="ru-RU"/>
        </w:rPr>
        <w:t>оказание помощи</w:t>
      </w:r>
      <w:r w:rsidRPr="008E142B">
        <w:rPr>
          <w:rFonts w:cs="Arial"/>
          <w:lang w:val="ru-RU"/>
        </w:rPr>
        <w:t xml:space="preserve"> НО в разработке, </w:t>
      </w:r>
      <w:r w:rsidR="00F162CF" w:rsidRPr="008E142B">
        <w:rPr>
          <w:rFonts w:cs="Arial"/>
          <w:lang w:val="ru-RU"/>
        </w:rPr>
        <w:t xml:space="preserve">пилотировании или масштабировании </w:t>
      </w:r>
      <w:r w:rsidRPr="008E142B">
        <w:rPr>
          <w:rFonts w:cs="Arial"/>
          <w:lang w:val="ru-RU"/>
        </w:rPr>
        <w:t xml:space="preserve">соответствующих страховых продуктов, либо напрямую, либо в партнерстве со страховщиками, </w:t>
      </w:r>
      <w:r w:rsidR="00512C0C" w:rsidRPr="008E142B">
        <w:rPr>
          <w:rFonts w:cs="Arial"/>
          <w:lang w:val="ru-RU"/>
        </w:rPr>
        <w:t xml:space="preserve">в соответствии с </w:t>
      </w:r>
      <w:r w:rsidRPr="008E142B">
        <w:rPr>
          <w:rFonts w:cs="Arial"/>
          <w:lang w:val="ru-RU"/>
        </w:rPr>
        <w:t>национальным</w:t>
      </w:r>
      <w:r w:rsidR="00512C0C" w:rsidRPr="008E142B">
        <w:rPr>
          <w:rFonts w:cs="Arial"/>
          <w:lang w:val="ru-RU"/>
        </w:rPr>
        <w:t>и</w:t>
      </w:r>
      <w:r w:rsidRPr="008E142B">
        <w:rPr>
          <w:rFonts w:cs="Arial"/>
          <w:lang w:val="ru-RU"/>
        </w:rPr>
        <w:t xml:space="preserve"> целям</w:t>
      </w:r>
      <w:r w:rsidR="00512C0C" w:rsidRPr="008E142B">
        <w:rPr>
          <w:rFonts w:cs="Arial"/>
          <w:lang w:val="ru-RU"/>
        </w:rPr>
        <w:t>и</w:t>
      </w:r>
      <w:r w:rsidRPr="008E142B">
        <w:rPr>
          <w:rFonts w:cs="Arial"/>
          <w:lang w:val="ru-RU"/>
        </w:rPr>
        <w:t xml:space="preserve"> </w:t>
      </w:r>
      <w:r w:rsidR="00F162CF" w:rsidRPr="008E142B">
        <w:rPr>
          <w:rFonts w:cs="Arial"/>
          <w:lang w:val="ru-RU"/>
        </w:rPr>
        <w:t>в области финансовой доступности</w:t>
      </w:r>
      <w:r w:rsidRPr="008E142B">
        <w:rPr>
          <w:rFonts w:cs="Arial"/>
          <w:lang w:val="ru-RU"/>
        </w:rPr>
        <w:t xml:space="preserve">. Для обеспечения эффективной реализации программы PITAF и достижения желаемых результатов решающее значение будет иметь привлечение страховых партнеров и их экспертов по </w:t>
      </w:r>
      <w:r w:rsidR="00F162CF" w:rsidRPr="008E142B">
        <w:rPr>
          <w:rFonts w:cs="Arial"/>
          <w:lang w:val="ru-RU"/>
        </w:rPr>
        <w:t>инклюзивному</w:t>
      </w:r>
      <w:r w:rsidRPr="008E142B">
        <w:rPr>
          <w:rFonts w:cs="Arial"/>
          <w:lang w:val="ru-RU"/>
        </w:rPr>
        <w:t xml:space="preserve"> страхованию. </w:t>
      </w:r>
      <w:r w:rsidR="00512C0C" w:rsidRPr="008E142B">
        <w:rPr>
          <w:rFonts w:cs="Arial"/>
          <w:lang w:val="ru-RU"/>
        </w:rPr>
        <w:t>Они будут делиться знаниями</w:t>
      </w:r>
      <w:r w:rsidRPr="008E142B">
        <w:rPr>
          <w:rFonts w:cs="Arial"/>
          <w:lang w:val="ru-RU"/>
        </w:rPr>
        <w:t xml:space="preserve">, </w:t>
      </w:r>
      <w:r w:rsidR="003703DD" w:rsidRPr="008E142B">
        <w:rPr>
          <w:rFonts w:cs="Arial"/>
          <w:lang w:val="ru-RU"/>
        </w:rPr>
        <w:t>предоставл</w:t>
      </w:r>
      <w:r w:rsidR="00512C0C" w:rsidRPr="008E142B">
        <w:rPr>
          <w:rFonts w:cs="Arial"/>
          <w:lang w:val="ru-RU"/>
        </w:rPr>
        <w:t>ять</w:t>
      </w:r>
      <w:r w:rsidR="003703DD" w:rsidRPr="008E142B">
        <w:rPr>
          <w:rFonts w:cs="Arial"/>
          <w:lang w:val="ru-RU"/>
        </w:rPr>
        <w:t xml:space="preserve"> консультаци</w:t>
      </w:r>
      <w:r w:rsidR="00512C0C" w:rsidRPr="008E142B">
        <w:rPr>
          <w:rFonts w:cs="Arial"/>
          <w:lang w:val="ru-RU"/>
        </w:rPr>
        <w:t>и</w:t>
      </w:r>
      <w:r w:rsidRPr="008E142B">
        <w:rPr>
          <w:rFonts w:cs="Arial"/>
          <w:lang w:val="ru-RU"/>
        </w:rPr>
        <w:t xml:space="preserve"> и рекомендаци</w:t>
      </w:r>
      <w:r w:rsidR="00512C0C" w:rsidRPr="008E142B">
        <w:rPr>
          <w:rFonts w:cs="Arial"/>
          <w:lang w:val="ru-RU"/>
        </w:rPr>
        <w:t>и</w:t>
      </w:r>
      <w:r w:rsidRPr="008E142B">
        <w:rPr>
          <w:rFonts w:cs="Arial"/>
          <w:lang w:val="ru-RU"/>
        </w:rPr>
        <w:t xml:space="preserve"> по бизнес-моделям</w:t>
      </w:r>
      <w:r w:rsidR="00512C0C" w:rsidRPr="008E142B">
        <w:rPr>
          <w:rFonts w:cs="Arial"/>
          <w:lang w:val="ru-RU"/>
        </w:rPr>
        <w:t xml:space="preserve"> страхования</w:t>
      </w:r>
      <w:r w:rsidRPr="008E142B">
        <w:rPr>
          <w:rFonts w:cs="Arial"/>
          <w:lang w:val="ru-RU"/>
        </w:rPr>
        <w:t xml:space="preserve">, которые будут использоваться участвующими </w:t>
      </w:r>
      <w:r w:rsidR="003703DD" w:rsidRPr="008E142B">
        <w:rPr>
          <w:rFonts w:cs="Arial"/>
          <w:lang w:val="ru-RU"/>
        </w:rPr>
        <w:t>назначенными операторами</w:t>
      </w:r>
      <w:r w:rsidRPr="008E142B">
        <w:rPr>
          <w:rFonts w:cs="Arial"/>
          <w:lang w:val="ru-RU"/>
        </w:rPr>
        <w:t xml:space="preserve">, </w:t>
      </w:r>
      <w:r w:rsidR="00512C0C" w:rsidRPr="008E142B">
        <w:rPr>
          <w:rFonts w:cs="Arial"/>
          <w:lang w:val="ru-RU"/>
        </w:rPr>
        <w:t xml:space="preserve">что </w:t>
      </w:r>
      <w:r w:rsidRPr="008E142B">
        <w:rPr>
          <w:rFonts w:cs="Arial"/>
          <w:lang w:val="ru-RU"/>
        </w:rPr>
        <w:t xml:space="preserve">поможет обеспечить </w:t>
      </w:r>
      <w:r w:rsidR="003703DD" w:rsidRPr="008E142B">
        <w:rPr>
          <w:rFonts w:cs="Arial"/>
          <w:lang w:val="ru-RU"/>
        </w:rPr>
        <w:t>успешное выполнение</w:t>
      </w:r>
      <w:r w:rsidRPr="008E142B">
        <w:rPr>
          <w:rFonts w:cs="Arial"/>
          <w:lang w:val="ru-RU"/>
        </w:rPr>
        <w:t xml:space="preserve"> проекта</w:t>
      </w:r>
      <w:r w:rsidR="003703DD" w:rsidRPr="008E142B">
        <w:rPr>
          <w:rFonts w:cs="Arial"/>
          <w:lang w:val="ru-RU"/>
        </w:rPr>
        <w:t>.</w:t>
      </w:r>
    </w:p>
    <w:p w14:paraId="15B3DEEA" w14:textId="002E5A18" w:rsidR="00512C0C" w:rsidRPr="008E142B" w:rsidRDefault="00512C0C" w:rsidP="00266929">
      <w:pPr>
        <w:pStyle w:val="0Textedebase"/>
        <w:spacing w:line="240" w:lineRule="auto"/>
        <w:rPr>
          <w:rFonts w:cs="Arial"/>
          <w:lang w:val="ru-RU"/>
        </w:rPr>
      </w:pPr>
    </w:p>
    <w:p w14:paraId="0D430E02" w14:textId="77777777" w:rsidR="008E142B" w:rsidRPr="008E142B" w:rsidRDefault="008E142B" w:rsidP="00266929">
      <w:pPr>
        <w:pStyle w:val="0Textedebase"/>
        <w:spacing w:line="240" w:lineRule="auto"/>
        <w:rPr>
          <w:rFonts w:cs="Arial"/>
          <w:lang w:val="ru-RU"/>
        </w:rPr>
      </w:pPr>
    </w:p>
    <w:p w14:paraId="132FC3CE" w14:textId="63A3A025" w:rsidR="00266929" w:rsidRPr="008E142B" w:rsidRDefault="00794D1C" w:rsidP="00266929">
      <w:pPr>
        <w:pStyle w:val="Heading1"/>
        <w:numPr>
          <w:ilvl w:val="0"/>
          <w:numId w:val="33"/>
        </w:numPr>
        <w:spacing w:line="240" w:lineRule="auto"/>
        <w:rPr>
          <w:rFonts w:cs="Arial"/>
          <w:lang w:val="ru-RU"/>
        </w:rPr>
      </w:pPr>
      <w:bookmarkStart w:id="16" w:name="_Toc202952501"/>
      <w:r w:rsidRPr="008E142B">
        <w:rPr>
          <w:rFonts w:cs="Arial"/>
          <w:lang w:val="ru-RU"/>
        </w:rPr>
        <w:t>Цели и задачи проектов, отвечающих соответствующим критериям</w:t>
      </w:r>
      <w:bookmarkEnd w:id="16"/>
    </w:p>
    <w:p w14:paraId="2A7779B9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3F33084F" w14:textId="7AB304C6" w:rsidR="00794D1C" w:rsidRPr="008E142B" w:rsidRDefault="00794D1C" w:rsidP="00794D1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ВПС предоставит начальное финансирование для поддержки </w:t>
      </w:r>
      <w:r w:rsidR="00512C0C" w:rsidRPr="008E142B">
        <w:rPr>
          <w:rFonts w:cs="Arial"/>
          <w:lang w:val="ru-RU"/>
        </w:rPr>
        <w:t>вы</w:t>
      </w:r>
      <w:r w:rsidRPr="008E142B">
        <w:rPr>
          <w:rFonts w:cs="Arial"/>
          <w:lang w:val="ru-RU"/>
        </w:rPr>
        <w:t xml:space="preserve">бранных проектов, которые соответствуют критериям, определенным ниже (при условии заключения соответствующего договорного </w:t>
      </w:r>
      <w:r w:rsidR="00512C0C" w:rsidRPr="008E142B">
        <w:rPr>
          <w:rFonts w:cs="Arial"/>
          <w:lang w:val="ru-RU"/>
        </w:rPr>
        <w:t>документа</w:t>
      </w:r>
      <w:r w:rsidRPr="008E142B">
        <w:rPr>
          <w:rFonts w:cs="Arial"/>
          <w:lang w:val="ru-RU"/>
        </w:rPr>
        <w:t xml:space="preserve"> между ВПС и участвующим НО)</w:t>
      </w:r>
      <w:r w:rsidR="00B557A8" w:rsidRPr="008E142B">
        <w:rPr>
          <w:rFonts w:cs="Arial"/>
          <w:lang w:val="ru-RU"/>
        </w:rPr>
        <w:t>;</w:t>
      </w:r>
      <w:r w:rsidRPr="008E142B">
        <w:rPr>
          <w:rFonts w:cs="Arial"/>
          <w:lang w:val="ru-RU"/>
        </w:rPr>
        <w:t xml:space="preserve"> </w:t>
      </w:r>
      <w:r w:rsidR="00D954D3" w:rsidRPr="008E142B">
        <w:rPr>
          <w:rFonts w:cs="Arial"/>
          <w:lang w:val="ru-RU"/>
        </w:rPr>
        <w:t>при этом</w:t>
      </w:r>
      <w:r w:rsidRPr="008E142B">
        <w:rPr>
          <w:rFonts w:cs="Arial"/>
          <w:lang w:val="ru-RU"/>
        </w:rPr>
        <w:t xml:space="preserve"> </w:t>
      </w:r>
      <w:r w:rsidR="00391711" w:rsidRPr="008E142B">
        <w:rPr>
          <w:rFonts w:cs="Arial"/>
          <w:lang w:val="ru-RU"/>
        </w:rPr>
        <w:t>приоритетное</w:t>
      </w:r>
      <w:r w:rsidRPr="008E142B">
        <w:rPr>
          <w:rFonts w:cs="Arial"/>
          <w:lang w:val="ru-RU"/>
        </w:rPr>
        <w:t xml:space="preserve"> внимание </w:t>
      </w:r>
      <w:r w:rsidR="00D954D3" w:rsidRPr="008E142B">
        <w:rPr>
          <w:rFonts w:cs="Arial"/>
          <w:lang w:val="ru-RU"/>
        </w:rPr>
        <w:t xml:space="preserve">будет уделяться </w:t>
      </w:r>
      <w:r w:rsidRPr="008E142B">
        <w:rPr>
          <w:rFonts w:cs="Arial"/>
          <w:lang w:val="ru-RU"/>
        </w:rPr>
        <w:t>проектам, способствующим</w:t>
      </w:r>
      <w:r w:rsidR="00D954D3" w:rsidRPr="008E142B">
        <w:rPr>
          <w:rFonts w:cs="Arial"/>
          <w:lang w:val="ru-RU"/>
        </w:rPr>
        <w:t xml:space="preserve"> развитию</w:t>
      </w:r>
      <w:r w:rsidRPr="008E142B">
        <w:rPr>
          <w:rFonts w:cs="Arial"/>
          <w:lang w:val="ru-RU"/>
        </w:rPr>
        <w:t>, позволяющим</w:t>
      </w:r>
      <w:r w:rsidR="00D954D3" w:rsidRPr="008E142B">
        <w:rPr>
          <w:rFonts w:cs="Arial"/>
          <w:lang w:val="ru-RU"/>
        </w:rPr>
        <w:t xml:space="preserve"> осуществить</w:t>
      </w:r>
      <w:r w:rsidRPr="008E142B">
        <w:rPr>
          <w:rFonts w:cs="Arial"/>
          <w:lang w:val="ru-RU"/>
        </w:rPr>
        <w:t xml:space="preserve"> и </w:t>
      </w:r>
      <w:r w:rsidR="00D954D3" w:rsidRPr="008E142B">
        <w:rPr>
          <w:rFonts w:cs="Arial"/>
          <w:lang w:val="ru-RU"/>
        </w:rPr>
        <w:t>использующим</w:t>
      </w:r>
      <w:r w:rsidRPr="008E142B">
        <w:rPr>
          <w:rFonts w:cs="Arial"/>
          <w:lang w:val="ru-RU"/>
        </w:rPr>
        <w:t xml:space="preserve"> возможности почтового инклюзивного страхования.</w:t>
      </w:r>
    </w:p>
    <w:p w14:paraId="4F42E2BE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54016691" w14:textId="358882A3" w:rsidR="00266929" w:rsidRPr="008E142B" w:rsidRDefault="003968C5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Эти проекты должны </w:t>
      </w:r>
      <w:r w:rsidR="00EE2A91" w:rsidRPr="008E142B">
        <w:rPr>
          <w:rFonts w:cs="Arial"/>
          <w:lang w:val="ru-RU"/>
        </w:rPr>
        <w:t>быть направлены на достижение</w:t>
      </w:r>
      <w:r w:rsidRPr="008E142B">
        <w:rPr>
          <w:rFonts w:cs="Arial"/>
          <w:lang w:val="ru-RU"/>
        </w:rPr>
        <w:t xml:space="preserve"> </w:t>
      </w:r>
      <w:r w:rsidR="005C360D" w:rsidRPr="008E142B">
        <w:rPr>
          <w:rFonts w:cs="Arial"/>
          <w:lang w:val="ru-RU"/>
        </w:rPr>
        <w:t>некоторы</w:t>
      </w:r>
      <w:r w:rsidR="00EE2A91" w:rsidRPr="008E142B">
        <w:rPr>
          <w:rFonts w:cs="Arial"/>
          <w:lang w:val="ru-RU"/>
        </w:rPr>
        <w:t>х</w:t>
      </w:r>
      <w:r w:rsidR="005C360D" w:rsidRPr="008E142B">
        <w:rPr>
          <w:rFonts w:cs="Arial"/>
          <w:lang w:val="ru-RU"/>
        </w:rPr>
        <w:t xml:space="preserve"> из</w:t>
      </w:r>
      <w:r w:rsidRPr="008E142B">
        <w:rPr>
          <w:rFonts w:cs="Arial"/>
          <w:lang w:val="ru-RU"/>
        </w:rPr>
        <w:t xml:space="preserve"> </w:t>
      </w:r>
      <w:r w:rsidR="003521DA" w:rsidRPr="008E142B">
        <w:rPr>
          <w:rFonts w:cs="Arial"/>
          <w:lang w:val="ru-RU"/>
        </w:rPr>
        <w:t>следующих</w:t>
      </w:r>
      <w:r w:rsidRPr="008E142B">
        <w:rPr>
          <w:rFonts w:cs="Arial"/>
          <w:lang w:val="ru-RU"/>
        </w:rPr>
        <w:t xml:space="preserve"> целей</w:t>
      </w:r>
      <w:r w:rsidR="00266929" w:rsidRPr="008E142B">
        <w:rPr>
          <w:rFonts w:cs="Arial"/>
          <w:lang w:val="ru-RU"/>
        </w:rPr>
        <w:t>:</w:t>
      </w:r>
    </w:p>
    <w:p w14:paraId="54C8B6D2" w14:textId="15230033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р</w:t>
      </w:r>
      <w:r w:rsidR="00957480" w:rsidRPr="008E142B">
        <w:rPr>
          <w:rFonts w:cs="Arial"/>
          <w:lang w:val="ru-RU"/>
        </w:rPr>
        <w:t>азработать ориентированные на клиентов продукты инклюзивного страхования для уязвимых групп (например, женщин; микро-, малых и средних предприятий (ММСП); фермеров; молодежи; пожилых людей).</w:t>
      </w:r>
    </w:p>
    <w:p w14:paraId="6691674E" w14:textId="3635873B" w:rsidR="004E0BC3" w:rsidRPr="008E142B" w:rsidRDefault="004E0BC3" w:rsidP="004E0BC3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Содействовать разработке инновационных продуктов и упрощению </w:t>
      </w:r>
      <w:r w:rsidR="00EE2A91" w:rsidRPr="008E142B">
        <w:rPr>
          <w:rFonts w:cs="Arial"/>
          <w:lang w:val="ru-RU"/>
        </w:rPr>
        <w:t>обслуживания клиентов</w:t>
      </w:r>
      <w:r w:rsidRPr="008E142B">
        <w:rPr>
          <w:rFonts w:cs="Arial"/>
          <w:lang w:val="ru-RU"/>
        </w:rPr>
        <w:t xml:space="preserve"> посредством оптимизированного процесса инклюзивного страхования, учитывающего потребности клиентов и при этом соответствующего целям проекта PITAF.</w:t>
      </w:r>
    </w:p>
    <w:p w14:paraId="185DB2E3" w14:textId="3083FF6D" w:rsidR="00266929" w:rsidRPr="008E142B" w:rsidRDefault="003521DA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Диверсифицировать продукты и услуги НО, чтобы </w:t>
      </w:r>
      <w:r w:rsidR="00EE2A91" w:rsidRPr="008E142B">
        <w:rPr>
          <w:rFonts w:cs="Arial"/>
          <w:lang w:val="ru-RU"/>
        </w:rPr>
        <w:t>обеспечить возможность предлагать услуги</w:t>
      </w:r>
      <w:r w:rsidRPr="008E142B">
        <w:rPr>
          <w:rFonts w:cs="Arial"/>
          <w:lang w:val="ru-RU"/>
        </w:rPr>
        <w:t xml:space="preserve"> инклюзивного страхования и укреплять свои решения и финансовую устойчивость.</w:t>
      </w:r>
    </w:p>
    <w:p w14:paraId="5DA46F20" w14:textId="1EE5D153" w:rsidR="00266929" w:rsidRPr="008E142B" w:rsidRDefault="003521DA" w:rsidP="00EE2A91">
      <w:pPr>
        <w:pStyle w:val="Premierretrait"/>
        <w:rPr>
          <w:rFonts w:cs="Arial"/>
          <w:lang w:val="ru-RU"/>
        </w:rPr>
      </w:pPr>
      <w:r w:rsidRPr="008E142B">
        <w:rPr>
          <w:lang w:val="ru-RU"/>
        </w:rPr>
        <w:lastRenderedPageBreak/>
        <w:t>Содействовать партнерскому взаимодействию между различными игроками, включая НО, поставщиков страховых услуг и правительства, с целью создания благоприятных условий для развития инклюзивного страхования.</w:t>
      </w:r>
      <w:r w:rsidR="00EE2A91" w:rsidRPr="008E142B">
        <w:rPr>
          <w:lang w:val="ru-RU"/>
        </w:rPr>
        <w:t xml:space="preserve"> </w:t>
      </w:r>
    </w:p>
    <w:p w14:paraId="42E5B257" w14:textId="0AF88660" w:rsidR="003521DA" w:rsidRPr="008E142B" w:rsidRDefault="003521DA" w:rsidP="003521DA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Поддерживать национальные цели в области финансовой доступности.</w:t>
      </w:r>
    </w:p>
    <w:p w14:paraId="506C2CDA" w14:textId="1608E69B" w:rsidR="00266929" w:rsidRPr="008E142B" w:rsidRDefault="003521DA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Предлагать учебные программы по наращиванию потенциала и </w:t>
      </w:r>
      <w:r w:rsidR="00EC2CBB" w:rsidRPr="008E142B">
        <w:rPr>
          <w:rFonts w:cs="Arial"/>
          <w:lang w:val="ru-RU"/>
        </w:rPr>
        <w:t>обучению</w:t>
      </w:r>
      <w:r w:rsidRPr="008E142B">
        <w:rPr>
          <w:rFonts w:cs="Arial"/>
          <w:lang w:val="ru-RU"/>
        </w:rPr>
        <w:t xml:space="preserve"> в сфере страхования, а также предоставлять платформу для обмена знаниями.</w:t>
      </w:r>
    </w:p>
    <w:p w14:paraId="610190FE" w14:textId="33B0B5E1" w:rsidR="00266929" w:rsidRPr="008E142B" w:rsidRDefault="00EC2CB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Изучить перспективы разработки нормативных положений о </w:t>
      </w:r>
      <w:r w:rsidR="00EE2A91" w:rsidRPr="008E142B">
        <w:rPr>
          <w:rFonts w:cs="Arial"/>
          <w:lang w:val="ru-RU"/>
        </w:rPr>
        <w:t xml:space="preserve">почтовом </w:t>
      </w:r>
      <w:r w:rsidRPr="008E142B">
        <w:rPr>
          <w:rFonts w:cs="Arial"/>
          <w:lang w:val="ru-RU"/>
        </w:rPr>
        <w:t>инклюзивном страховании и поддерж</w:t>
      </w:r>
      <w:r w:rsidR="00EE2A91" w:rsidRPr="008E142B">
        <w:rPr>
          <w:rFonts w:cs="Arial"/>
          <w:lang w:val="ru-RU"/>
        </w:rPr>
        <w:t>ива</w:t>
      </w:r>
      <w:r w:rsidRPr="008E142B">
        <w:rPr>
          <w:rFonts w:cs="Arial"/>
          <w:lang w:val="ru-RU"/>
        </w:rPr>
        <w:t>ть усилия в этой области.</w:t>
      </w:r>
    </w:p>
    <w:p w14:paraId="14244C66" w14:textId="3E349FFA" w:rsidR="00266929" w:rsidRPr="008E142B" w:rsidRDefault="00EC2CB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Четко определить влияние проекта на клиентов, назначенных операторов и политику финансовой доступности</w:t>
      </w:r>
      <w:r w:rsidR="004875F6" w:rsidRPr="008E142B">
        <w:rPr>
          <w:rFonts w:cs="Arial"/>
          <w:lang w:val="ru-RU"/>
        </w:rPr>
        <w:t>.</w:t>
      </w:r>
    </w:p>
    <w:p w14:paraId="4F939CA7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EEC77A4" w14:textId="132EF5D9" w:rsidR="00266929" w:rsidRPr="008E142B" w:rsidRDefault="00EE2A91" w:rsidP="00266929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  <w:r w:rsidRPr="008E142B">
        <w:rPr>
          <w:rFonts w:cs="Arial"/>
          <w:i/>
          <w:iCs/>
          <w:lang w:val="ru-RU"/>
        </w:rPr>
        <w:t>Возможные</w:t>
      </w:r>
      <w:r w:rsidR="001D0898" w:rsidRPr="008E142B">
        <w:rPr>
          <w:rFonts w:cs="Arial"/>
          <w:i/>
          <w:iCs/>
          <w:lang w:val="ru-RU"/>
        </w:rPr>
        <w:t xml:space="preserve"> основные направления </w:t>
      </w:r>
      <w:r w:rsidRPr="008E142B">
        <w:rPr>
          <w:rFonts w:cs="Arial"/>
          <w:i/>
          <w:iCs/>
          <w:lang w:val="ru-RU"/>
        </w:rPr>
        <w:t>деятельности</w:t>
      </w:r>
    </w:p>
    <w:p w14:paraId="00B6B16A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3CAE7A76" w14:textId="113E5451" w:rsidR="001F5347" w:rsidRPr="008E142B" w:rsidRDefault="001F5347" w:rsidP="008E142B">
      <w:pPr>
        <w:pStyle w:val="1Premierretrait"/>
        <w:numPr>
          <w:ilvl w:val="0"/>
          <w:numId w:val="13"/>
        </w:numPr>
        <w:spacing w:before="0"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Оценка возможностей развития бизнеса в области почтового инклюзивного страхования (т.е. масштабы, воздействия и необходимые решения по инклюзивному страхованию)</w:t>
      </w:r>
      <w:r w:rsidR="00A105F8" w:rsidRPr="008E142B">
        <w:rPr>
          <w:rFonts w:cs="Arial"/>
          <w:lang w:val="ru-RU"/>
        </w:rPr>
        <w:t>.</w:t>
      </w:r>
    </w:p>
    <w:p w14:paraId="2F6F4AA3" w14:textId="1C4BDAFE" w:rsidR="00266929" w:rsidRPr="008E142B" w:rsidRDefault="00BA75C5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Оценка требований </w:t>
      </w:r>
      <w:r w:rsidR="00AF261E" w:rsidRPr="008E142B">
        <w:rPr>
          <w:rFonts w:cs="Arial"/>
          <w:lang w:val="ru-RU"/>
        </w:rPr>
        <w:t>к</w:t>
      </w:r>
      <w:r w:rsidRPr="008E142B">
        <w:rPr>
          <w:rFonts w:cs="Arial"/>
          <w:lang w:val="ru-RU"/>
        </w:rPr>
        <w:t xml:space="preserve"> управлению для вариантов и моделей партнерства в сфере страхования.</w:t>
      </w:r>
    </w:p>
    <w:p w14:paraId="5B8F2B73" w14:textId="0783D33A" w:rsidR="00266929" w:rsidRPr="008E142B" w:rsidRDefault="00AF261E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Анализ эксплуатационной готовности </w:t>
      </w:r>
      <w:r w:rsidR="00F85D7A" w:rsidRPr="008E142B">
        <w:rPr>
          <w:rFonts w:cs="Arial"/>
          <w:lang w:val="ru-RU"/>
        </w:rPr>
        <w:t xml:space="preserve">назначенных операторов </w:t>
      </w:r>
      <w:r w:rsidRPr="008E142B">
        <w:rPr>
          <w:rFonts w:cs="Arial"/>
          <w:lang w:val="ru-RU"/>
        </w:rPr>
        <w:t xml:space="preserve">к страхованию, а также </w:t>
      </w:r>
      <w:r w:rsidR="00F85D7A" w:rsidRPr="008E142B">
        <w:rPr>
          <w:rFonts w:cs="Arial"/>
          <w:lang w:val="ru-RU"/>
        </w:rPr>
        <w:t>возможностей и преимуществ, предлагаемых им диверсификацией</w:t>
      </w:r>
      <w:r w:rsidRPr="008E142B">
        <w:rPr>
          <w:rFonts w:cs="Arial"/>
          <w:lang w:val="ru-RU"/>
        </w:rPr>
        <w:t>.</w:t>
      </w:r>
    </w:p>
    <w:p w14:paraId="1E82CB9F" w14:textId="4CD75D05" w:rsidR="00266929" w:rsidRPr="008E142B" w:rsidRDefault="00AF261E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Пересмотр эксплуатационных процедур с целью адаптации к новым методам и условиям продаж услуг инклюзивного страхования.</w:t>
      </w:r>
    </w:p>
    <w:p w14:paraId="5570BE7E" w14:textId="7EEA7127" w:rsidR="00AF261E" w:rsidRPr="008E142B" w:rsidRDefault="00AF261E" w:rsidP="00AF261E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Подготовка спецификаций почтового страхования и моделей делового партнерства</w:t>
      </w:r>
      <w:r w:rsidR="005C360D" w:rsidRPr="008E142B">
        <w:rPr>
          <w:rFonts w:cs="Arial"/>
          <w:lang w:val="ru-RU"/>
        </w:rPr>
        <w:t>.</w:t>
      </w:r>
    </w:p>
    <w:p w14:paraId="601FFF5C" w14:textId="3F1FF918" w:rsidR="00266929" w:rsidRPr="008E142B" w:rsidRDefault="005C360D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Определение поставщиков услуг инклюзивного страхования при соблюдении национальных руководящих принципов в области закупок.</w:t>
      </w:r>
    </w:p>
    <w:p w14:paraId="469460EF" w14:textId="5710BBF6" w:rsidR="00266929" w:rsidRPr="008E142B" w:rsidRDefault="00A474C6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Подготовка </w:t>
      </w:r>
      <w:r w:rsidR="008939A9" w:rsidRPr="008E142B">
        <w:rPr>
          <w:rFonts w:cs="Arial"/>
          <w:lang w:val="ru-RU"/>
        </w:rPr>
        <w:t xml:space="preserve">национальных </w:t>
      </w:r>
      <w:r w:rsidRPr="008E142B">
        <w:rPr>
          <w:rFonts w:cs="Arial"/>
          <w:lang w:val="ru-RU"/>
        </w:rPr>
        <w:t xml:space="preserve">планов выхода на рынок в поддержку местных партнерств (включая разработку тендерных предложений) и </w:t>
      </w:r>
      <w:r w:rsidR="00B64964" w:rsidRPr="008E142B">
        <w:rPr>
          <w:rFonts w:cs="Arial"/>
          <w:lang w:val="ru-RU"/>
        </w:rPr>
        <w:t>ведущих</w:t>
      </w:r>
      <w:r w:rsidR="008939A9" w:rsidRPr="008E142B">
        <w:rPr>
          <w:rFonts w:cs="Arial"/>
          <w:lang w:val="ru-RU"/>
        </w:rPr>
        <w:t xml:space="preserve"> к</w:t>
      </w:r>
      <w:r w:rsidRPr="008E142B">
        <w:rPr>
          <w:rFonts w:cs="Arial"/>
          <w:lang w:val="ru-RU"/>
        </w:rPr>
        <w:t xml:space="preserve"> </w:t>
      </w:r>
      <w:r w:rsidR="00B64964" w:rsidRPr="008E142B">
        <w:rPr>
          <w:rFonts w:cs="Arial"/>
          <w:lang w:val="ru-RU"/>
        </w:rPr>
        <w:t>планам</w:t>
      </w:r>
      <w:r w:rsidRPr="008E142B">
        <w:rPr>
          <w:rFonts w:cs="Arial"/>
          <w:lang w:val="ru-RU"/>
        </w:rPr>
        <w:t xml:space="preserve"> масштабируемого внедрения.</w:t>
      </w:r>
    </w:p>
    <w:p w14:paraId="45579BF9" w14:textId="6DE2F99D" w:rsidR="00266929" w:rsidRPr="008E142B" w:rsidRDefault="00B64964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Проверка технической готовности почт</w:t>
      </w:r>
      <w:r w:rsidR="00CE7FA0" w:rsidRPr="008E142B">
        <w:rPr>
          <w:rFonts w:cs="Arial"/>
          <w:lang w:val="ru-RU"/>
        </w:rPr>
        <w:t>овых служб</w:t>
      </w:r>
      <w:r w:rsidRPr="008E142B">
        <w:rPr>
          <w:rFonts w:cs="Arial"/>
          <w:lang w:val="ru-RU"/>
        </w:rPr>
        <w:t xml:space="preserve"> к развертыванию и интеграции возможностей инклюзивного страхования</w:t>
      </w:r>
      <w:r w:rsidR="00266929" w:rsidRPr="008E142B">
        <w:rPr>
          <w:rFonts w:cs="Arial"/>
          <w:lang w:val="ru-RU"/>
        </w:rPr>
        <w:t>;</w:t>
      </w:r>
    </w:p>
    <w:p w14:paraId="4D076F8E" w14:textId="2C127868" w:rsidR="00266929" w:rsidRPr="008E142B" w:rsidRDefault="00707C86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Проведение оценок конкурентного рынка</w:t>
      </w:r>
      <w:r w:rsidR="00266929" w:rsidRPr="008E142B">
        <w:rPr>
          <w:rFonts w:cs="Arial"/>
          <w:lang w:val="ru-RU"/>
        </w:rPr>
        <w:t>;</w:t>
      </w:r>
    </w:p>
    <w:p w14:paraId="78CA3D74" w14:textId="4BF84EB8" w:rsidR="00C067D2" w:rsidRPr="008E142B" w:rsidRDefault="00C067D2" w:rsidP="00C067D2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Разработка маркетинговых и рекламных мероприятий для инклюзивного страхования и учебных планов для повышения осведомленности о преимуществах инклюзивного страхования и способах доступа к решениям</w:t>
      </w:r>
      <w:r w:rsidR="00695C16" w:rsidRPr="008E142B">
        <w:rPr>
          <w:rFonts w:cs="Arial"/>
          <w:lang w:val="ru-RU"/>
        </w:rPr>
        <w:t>.</w:t>
      </w:r>
    </w:p>
    <w:p w14:paraId="51321FC2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AF93FBA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74429AD" w14:textId="77777777" w:rsidR="00AB5328" w:rsidRPr="008E142B" w:rsidRDefault="00266929" w:rsidP="00AB5328">
      <w:pPr>
        <w:pStyle w:val="Heading1"/>
        <w:spacing w:line="240" w:lineRule="auto"/>
        <w:rPr>
          <w:rFonts w:cs="Arial"/>
          <w:lang w:val="ru-RU"/>
        </w:rPr>
      </w:pPr>
      <w:bookmarkStart w:id="17" w:name="_Toc202952502"/>
      <w:r w:rsidRPr="008E142B">
        <w:rPr>
          <w:rFonts w:cs="Arial"/>
          <w:lang w:val="ru-RU"/>
        </w:rPr>
        <w:t>3</w:t>
      </w:r>
      <w:r w:rsidRPr="008E142B">
        <w:rPr>
          <w:rFonts w:cs="Arial"/>
          <w:lang w:val="ru-RU"/>
        </w:rPr>
        <w:tab/>
      </w:r>
      <w:r w:rsidR="00AB5328" w:rsidRPr="008E142B">
        <w:rPr>
          <w:rFonts w:cs="Arial"/>
          <w:lang w:val="ru-RU"/>
        </w:rPr>
        <w:t>Оценка и отбор предложений</w:t>
      </w:r>
      <w:bookmarkEnd w:id="17"/>
    </w:p>
    <w:p w14:paraId="24151687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580E0C96" w14:textId="2C6E0159" w:rsidR="00266929" w:rsidRPr="008E142B" w:rsidRDefault="00EC56E3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Style w:val="anegp0gi0b9av8jahpyh"/>
          <w:lang w:val="ru-RU"/>
        </w:rPr>
        <w:t>ВПС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рассмотрит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проектные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предложения</w:t>
      </w:r>
      <w:r w:rsidRPr="008E142B">
        <w:rPr>
          <w:lang w:val="ru-RU"/>
        </w:rPr>
        <w:t xml:space="preserve"> с </w:t>
      </w:r>
      <w:r w:rsidRPr="008E142B">
        <w:rPr>
          <w:rStyle w:val="anegp0gi0b9av8jahpyh"/>
          <w:lang w:val="ru-RU"/>
        </w:rPr>
        <w:t>точки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зрения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масштабов,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целей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потенциального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воздействия</w:t>
      </w:r>
      <w:r w:rsidRPr="008E142B">
        <w:rPr>
          <w:lang w:val="ru-RU"/>
        </w:rPr>
        <w:t xml:space="preserve"> на </w:t>
      </w:r>
      <w:r w:rsidRPr="008E142B">
        <w:rPr>
          <w:rStyle w:val="anegp0gi0b9av8jahpyh"/>
          <w:lang w:val="ru-RU"/>
        </w:rPr>
        <w:t>конечного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пользователя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(клиента).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Все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полученные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предложения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будут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оцениваться</w:t>
      </w:r>
      <w:r w:rsidRPr="008E142B">
        <w:rPr>
          <w:lang w:val="ru-RU"/>
        </w:rPr>
        <w:t xml:space="preserve"> в соответствии </w:t>
      </w:r>
      <w:r w:rsidRPr="008E142B">
        <w:rPr>
          <w:rStyle w:val="anegp0gi0b9av8jahpyh"/>
          <w:lang w:val="ru-RU"/>
        </w:rPr>
        <w:t>с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критериями</w:t>
      </w:r>
      <w:r w:rsidRPr="008E142B">
        <w:rPr>
          <w:lang w:val="ru-RU"/>
        </w:rPr>
        <w:t xml:space="preserve">, </w:t>
      </w:r>
      <w:r w:rsidRPr="008E142B">
        <w:rPr>
          <w:rStyle w:val="anegp0gi0b9av8jahpyh"/>
          <w:lang w:val="ru-RU"/>
        </w:rPr>
        <w:t>установленными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ВПС,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включая</w:t>
      </w:r>
      <w:r w:rsidRPr="008E142B">
        <w:rPr>
          <w:lang w:val="ru-RU"/>
        </w:rPr>
        <w:t xml:space="preserve"> </w:t>
      </w:r>
      <w:r w:rsidRPr="008E142B">
        <w:rPr>
          <w:rStyle w:val="anegp0gi0b9av8jahpyh"/>
          <w:lang w:val="ru-RU"/>
        </w:rPr>
        <w:t>следующие:</w:t>
      </w:r>
    </w:p>
    <w:p w14:paraId="2E05C4A3" w14:textId="668BA991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</w:t>
      </w:r>
      <w:r w:rsidR="00745114" w:rsidRPr="008E142B">
        <w:rPr>
          <w:rFonts w:cs="Arial"/>
          <w:lang w:val="ru-RU"/>
        </w:rPr>
        <w:t>отенциальная или существующая нормативно-правовая база, позволяющая НО предлагать страховые услуги</w:t>
      </w:r>
      <w:r w:rsidR="00266929" w:rsidRPr="008E142B">
        <w:rPr>
          <w:rFonts w:cs="Arial"/>
          <w:lang w:val="ru-RU"/>
        </w:rPr>
        <w:t>;</w:t>
      </w:r>
    </w:p>
    <w:p w14:paraId="2E557B81" w14:textId="52A165C2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г</w:t>
      </w:r>
      <w:r w:rsidR="00E33860" w:rsidRPr="008E142B">
        <w:rPr>
          <w:rFonts w:cs="Arial"/>
          <w:lang w:val="ru-RU"/>
        </w:rPr>
        <w:t>отовность</w:t>
      </w:r>
      <w:r w:rsidR="00745114" w:rsidRPr="008E142B">
        <w:rPr>
          <w:rFonts w:cs="Arial"/>
          <w:lang w:val="ru-RU"/>
        </w:rPr>
        <w:t xml:space="preserve"> правительства </w:t>
      </w:r>
      <w:r w:rsidR="00E33860" w:rsidRPr="008E142B">
        <w:rPr>
          <w:rFonts w:cs="Arial"/>
          <w:lang w:val="ru-RU"/>
        </w:rPr>
        <w:t xml:space="preserve">к </w:t>
      </w:r>
      <w:r w:rsidR="00745114" w:rsidRPr="008E142B">
        <w:rPr>
          <w:rFonts w:cs="Arial"/>
          <w:lang w:val="ru-RU"/>
        </w:rPr>
        <w:t>расширени</w:t>
      </w:r>
      <w:r w:rsidR="00E33860" w:rsidRPr="008E142B">
        <w:rPr>
          <w:rFonts w:cs="Arial"/>
          <w:lang w:val="ru-RU"/>
        </w:rPr>
        <w:t>ю</w:t>
      </w:r>
      <w:r w:rsidR="00745114" w:rsidRPr="008E142B">
        <w:rPr>
          <w:rFonts w:cs="Arial"/>
          <w:lang w:val="ru-RU"/>
        </w:rPr>
        <w:t xml:space="preserve"> доступа к финансовым услугам с помощью почтовых сетей и поддержке разработки </w:t>
      </w:r>
      <w:r w:rsidR="00CE7FA0" w:rsidRPr="008E142B">
        <w:rPr>
          <w:rFonts w:cs="Arial"/>
          <w:lang w:val="ru-RU"/>
        </w:rPr>
        <w:t>назначенными операторами</w:t>
      </w:r>
      <w:r w:rsidR="00E33860" w:rsidRPr="008E142B">
        <w:rPr>
          <w:rFonts w:cs="Arial"/>
          <w:lang w:val="ru-RU"/>
        </w:rPr>
        <w:t xml:space="preserve"> </w:t>
      </w:r>
      <w:r w:rsidR="00745114" w:rsidRPr="008E142B">
        <w:rPr>
          <w:rFonts w:cs="Arial"/>
          <w:lang w:val="ru-RU"/>
        </w:rPr>
        <w:t>предложений по инклюзивному страхованию</w:t>
      </w:r>
      <w:r w:rsidR="00E33860" w:rsidRPr="008E142B">
        <w:rPr>
          <w:rFonts w:cs="Arial"/>
          <w:lang w:val="ru-RU"/>
        </w:rPr>
        <w:t>;</w:t>
      </w:r>
    </w:p>
    <w:p w14:paraId="206FD8FC" w14:textId="15E43B41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с</w:t>
      </w:r>
      <w:r w:rsidR="00E33860" w:rsidRPr="008E142B">
        <w:rPr>
          <w:rFonts w:cs="Arial"/>
          <w:lang w:val="ru-RU"/>
        </w:rPr>
        <w:t>тремление высшего руководства НО доби</w:t>
      </w:r>
      <w:r w:rsidR="003E3A37" w:rsidRPr="008E142B">
        <w:rPr>
          <w:rFonts w:cs="Arial"/>
          <w:lang w:val="ru-RU"/>
        </w:rPr>
        <w:t>ва</w:t>
      </w:r>
      <w:r w:rsidR="00E33860" w:rsidRPr="008E142B">
        <w:rPr>
          <w:rFonts w:cs="Arial"/>
          <w:lang w:val="ru-RU"/>
        </w:rPr>
        <w:t>ться более сильного влияния на инклюзивное страхование как на одно из средств обеспечения финансовой доступности;</w:t>
      </w:r>
    </w:p>
    <w:p w14:paraId="7DE3FC35" w14:textId="7F567AA4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с</w:t>
      </w:r>
      <w:r w:rsidR="003E3A37" w:rsidRPr="008E142B">
        <w:rPr>
          <w:rFonts w:cs="Arial"/>
          <w:lang w:val="ru-RU"/>
        </w:rPr>
        <w:t xml:space="preserve">оответствие предлагаемого проекта национальным целям </w:t>
      </w:r>
      <w:r w:rsidR="00CE7FA0" w:rsidRPr="008E142B">
        <w:rPr>
          <w:rFonts w:cs="Arial"/>
          <w:lang w:val="ru-RU"/>
        </w:rPr>
        <w:t xml:space="preserve">в области </w:t>
      </w:r>
      <w:r w:rsidR="003E3A37" w:rsidRPr="008E142B">
        <w:rPr>
          <w:rFonts w:cs="Arial"/>
          <w:lang w:val="ru-RU"/>
        </w:rPr>
        <w:t xml:space="preserve">расширения доступа к финансовым услугам и </w:t>
      </w:r>
      <w:r w:rsidR="00CE7FA0" w:rsidRPr="008E142B">
        <w:rPr>
          <w:rFonts w:cs="Arial"/>
          <w:lang w:val="ru-RU"/>
        </w:rPr>
        <w:t xml:space="preserve">целям программы </w:t>
      </w:r>
      <w:r w:rsidR="003E3A37" w:rsidRPr="008E142B">
        <w:rPr>
          <w:rFonts w:cs="Arial"/>
          <w:lang w:val="ru-RU"/>
        </w:rPr>
        <w:t>PITAF</w:t>
      </w:r>
      <w:r w:rsidR="00266929" w:rsidRPr="008E142B">
        <w:rPr>
          <w:rFonts w:cs="Arial"/>
          <w:lang w:val="ru-RU"/>
        </w:rPr>
        <w:t>;</w:t>
      </w:r>
    </w:p>
    <w:p w14:paraId="2E4F7417" w14:textId="626794C0" w:rsidR="00266929" w:rsidRPr="008E142B" w:rsidRDefault="008E142B" w:rsidP="000805AD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с</w:t>
      </w:r>
      <w:r w:rsidR="003E3A37" w:rsidRPr="008E142B">
        <w:rPr>
          <w:rFonts w:cs="Arial"/>
          <w:lang w:val="ru-RU"/>
        </w:rPr>
        <w:t>пособность НO реализовать предлагаемый проект в требуемые сроки</w:t>
      </w:r>
      <w:r w:rsidR="00266929" w:rsidRPr="008E142B">
        <w:rPr>
          <w:rFonts w:cs="Arial"/>
          <w:lang w:val="ru-RU"/>
        </w:rPr>
        <w:t>;</w:t>
      </w:r>
    </w:p>
    <w:p w14:paraId="3925737E" w14:textId="4FBDFAA7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ч</w:t>
      </w:r>
      <w:r w:rsidR="003E3A37" w:rsidRPr="008E142B">
        <w:rPr>
          <w:rFonts w:cs="Arial"/>
          <w:lang w:val="ru-RU"/>
        </w:rPr>
        <w:t xml:space="preserve">етко </w:t>
      </w:r>
      <w:r w:rsidR="00BC37A2" w:rsidRPr="008E142B">
        <w:rPr>
          <w:rFonts w:cs="Arial"/>
          <w:lang w:val="ru-RU"/>
        </w:rPr>
        <w:t>определенные</w:t>
      </w:r>
      <w:r w:rsidR="003E3A37" w:rsidRPr="008E142B">
        <w:rPr>
          <w:rFonts w:cs="Arial"/>
          <w:lang w:val="ru-RU"/>
        </w:rPr>
        <w:t xml:space="preserve"> команда проекта и ресурсы</w:t>
      </w:r>
      <w:r w:rsidR="00CE7FA0" w:rsidRPr="008E142B">
        <w:rPr>
          <w:rFonts w:cs="Arial"/>
          <w:lang w:val="ru-RU"/>
        </w:rPr>
        <w:t xml:space="preserve"> НO</w:t>
      </w:r>
      <w:r w:rsidR="003E3A37" w:rsidRPr="008E142B">
        <w:rPr>
          <w:rFonts w:cs="Arial"/>
          <w:lang w:val="ru-RU"/>
        </w:rPr>
        <w:t xml:space="preserve"> для реализации проекта внутри страны</w:t>
      </w:r>
      <w:r w:rsidR="00266929" w:rsidRPr="008E142B">
        <w:rPr>
          <w:rFonts w:cs="Arial"/>
          <w:lang w:val="ru-RU"/>
        </w:rPr>
        <w:t>;</w:t>
      </w:r>
    </w:p>
    <w:p w14:paraId="6CCC7A25" w14:textId="7E842CDD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н</w:t>
      </w:r>
      <w:r w:rsidR="00BC37A2" w:rsidRPr="008E142B">
        <w:rPr>
          <w:rFonts w:cs="Arial"/>
          <w:lang w:val="ru-RU"/>
        </w:rPr>
        <w:t>ацеленность предлагаемого проекта на инновации для расширения доступа к страхованию, технологиям, операционным моделям и каналам сбыта;</w:t>
      </w:r>
      <w:r w:rsidR="00CE7FA0" w:rsidRPr="008E142B">
        <w:rPr>
          <w:rFonts w:cs="Arial"/>
          <w:lang w:val="ru-RU"/>
        </w:rPr>
        <w:t xml:space="preserve"> </w:t>
      </w:r>
    </w:p>
    <w:p w14:paraId="589A03F8" w14:textId="12071A31" w:rsidR="00306A31" w:rsidRPr="008E142B" w:rsidRDefault="008E142B" w:rsidP="00306A31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lastRenderedPageBreak/>
        <w:t>о</w:t>
      </w:r>
      <w:r w:rsidR="00306A31" w:rsidRPr="008E142B">
        <w:rPr>
          <w:rFonts w:cs="Arial"/>
          <w:lang w:val="ru-RU"/>
        </w:rPr>
        <w:t>риентированность предлагаемого проекта на клиента и его цель предоставлять услуги уязвимым слоям населения (например, МСП, фермерам, молодежи, женщинам, пожилым людям и другим социально незащищенным слоям населения)</w:t>
      </w:r>
    </w:p>
    <w:p w14:paraId="354E09A1" w14:textId="37B573BB" w:rsidR="00306A31" w:rsidRPr="008E142B" w:rsidRDefault="008E142B" w:rsidP="00306A31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я</w:t>
      </w:r>
      <w:r w:rsidR="00306A31" w:rsidRPr="008E142B">
        <w:rPr>
          <w:rFonts w:cs="Arial"/>
          <w:lang w:val="ru-RU"/>
        </w:rPr>
        <w:t xml:space="preserve">сные цели и реальные обязательства по сегментам клиентов, которые необходимо привлечь </w:t>
      </w:r>
      <w:r w:rsidR="009D7A8C" w:rsidRPr="008E142B">
        <w:rPr>
          <w:rFonts w:cs="Arial"/>
          <w:lang w:val="ru-RU"/>
        </w:rPr>
        <w:t>к участию</w:t>
      </w:r>
      <w:r w:rsidR="00306A31" w:rsidRPr="008E142B">
        <w:rPr>
          <w:rFonts w:cs="Arial"/>
          <w:lang w:val="ru-RU"/>
        </w:rPr>
        <w:t xml:space="preserve"> в проект</w:t>
      </w:r>
      <w:r w:rsidR="009D7A8C" w:rsidRPr="008E142B">
        <w:rPr>
          <w:rFonts w:cs="Arial"/>
          <w:lang w:val="ru-RU"/>
        </w:rPr>
        <w:t>е</w:t>
      </w:r>
      <w:r w:rsidR="00306A31" w:rsidRPr="008E142B">
        <w:rPr>
          <w:rFonts w:cs="Arial"/>
          <w:lang w:val="ru-RU"/>
        </w:rPr>
        <w:t xml:space="preserve"> (например, количество застрахованных, суммы премий, виды страхования)</w:t>
      </w:r>
      <w:r w:rsidR="009D7A8C" w:rsidRPr="008E142B">
        <w:rPr>
          <w:rFonts w:cs="Arial"/>
          <w:lang w:val="ru-RU"/>
        </w:rPr>
        <w:t>;</w:t>
      </w:r>
    </w:p>
    <w:p w14:paraId="4AF0E9B3" w14:textId="0AE626D2" w:rsidR="00266929" w:rsidRPr="008E142B" w:rsidRDefault="008E142B" w:rsidP="00E1220D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9D7A8C" w:rsidRPr="008E142B">
        <w:rPr>
          <w:rFonts w:cs="Arial"/>
          <w:lang w:val="ru-RU"/>
        </w:rPr>
        <w:t>ткрытость к новым вариантам партнерства и связанное с этим согласование с регулирующими органами</w:t>
      </w:r>
      <w:r w:rsidR="00266929" w:rsidRPr="008E142B">
        <w:rPr>
          <w:rFonts w:cs="Arial"/>
          <w:lang w:val="ru-RU"/>
        </w:rPr>
        <w:t>;</w:t>
      </w:r>
    </w:p>
    <w:p w14:paraId="174254F1" w14:textId="5B6DC4F8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spacing w:val="-4"/>
          <w:lang w:val="ru-RU"/>
        </w:rPr>
        <w:t>г</w:t>
      </w:r>
      <w:r w:rsidR="005C2E78" w:rsidRPr="008E142B">
        <w:rPr>
          <w:rFonts w:cs="Arial"/>
          <w:spacing w:val="-4"/>
          <w:lang w:val="ru-RU"/>
        </w:rPr>
        <w:t>отовность перенимать и внедрять полученный опыт и передовую практику в области инклюзивного</w:t>
      </w:r>
      <w:r w:rsidR="005C2E78" w:rsidRPr="008E142B">
        <w:rPr>
          <w:rFonts w:cs="Arial"/>
          <w:lang w:val="ru-RU"/>
        </w:rPr>
        <w:t xml:space="preserve"> страхования, работая с экспертами программы PITAF или местными поставщиками услуг</w:t>
      </w:r>
      <w:r w:rsidR="00266929" w:rsidRPr="008E142B">
        <w:rPr>
          <w:rFonts w:cs="Arial"/>
          <w:lang w:val="ru-RU"/>
        </w:rPr>
        <w:t>;</w:t>
      </w:r>
    </w:p>
    <w:p w14:paraId="363CB209" w14:textId="790C6DD8" w:rsidR="008B4C84" w:rsidRPr="008E142B" w:rsidRDefault="008E142B" w:rsidP="008B4C84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AB07E0" w:rsidRPr="008E142B">
        <w:rPr>
          <w:rFonts w:cs="Arial"/>
          <w:lang w:val="ru-RU"/>
        </w:rPr>
        <w:t>беспечение согласованности</w:t>
      </w:r>
      <w:r w:rsidR="008B4C84" w:rsidRPr="008E142B">
        <w:rPr>
          <w:rFonts w:cs="Arial"/>
          <w:lang w:val="ru-RU"/>
        </w:rPr>
        <w:t xml:space="preserve"> проекта </w:t>
      </w:r>
      <w:r w:rsidR="00AB07E0" w:rsidRPr="008E142B">
        <w:rPr>
          <w:rFonts w:cs="Arial"/>
          <w:lang w:val="ru-RU"/>
        </w:rPr>
        <w:t xml:space="preserve">по </w:t>
      </w:r>
      <w:r w:rsidR="008B4C84" w:rsidRPr="008E142B">
        <w:rPr>
          <w:rFonts w:cs="Arial"/>
          <w:lang w:val="ru-RU"/>
        </w:rPr>
        <w:t>инклюзивно</w:t>
      </w:r>
      <w:r w:rsidR="00AB07E0" w:rsidRPr="008E142B">
        <w:rPr>
          <w:rFonts w:cs="Arial"/>
          <w:lang w:val="ru-RU"/>
        </w:rPr>
        <w:t>му</w:t>
      </w:r>
      <w:r w:rsidR="008B4C84" w:rsidRPr="008E142B">
        <w:rPr>
          <w:rFonts w:cs="Arial"/>
          <w:lang w:val="ru-RU"/>
        </w:rPr>
        <w:t xml:space="preserve"> страховани</w:t>
      </w:r>
      <w:r w:rsidR="00AB07E0" w:rsidRPr="008E142B">
        <w:rPr>
          <w:rFonts w:cs="Arial"/>
          <w:lang w:val="ru-RU"/>
        </w:rPr>
        <w:t>ю</w:t>
      </w:r>
      <w:r w:rsidR="008B4C84" w:rsidRPr="008E142B">
        <w:rPr>
          <w:rFonts w:cs="Arial"/>
          <w:lang w:val="ru-RU"/>
        </w:rPr>
        <w:t xml:space="preserve"> с общей стратегией </w:t>
      </w:r>
      <w:r w:rsidR="00AB07E0" w:rsidRPr="008E142B">
        <w:rPr>
          <w:rFonts w:cs="Arial"/>
          <w:lang w:val="ru-RU"/>
        </w:rPr>
        <w:t>НО;</w:t>
      </w:r>
    </w:p>
    <w:p w14:paraId="220FD7CA" w14:textId="40C1F3F4" w:rsidR="00AB07E0" w:rsidRPr="008E142B" w:rsidRDefault="008E142B" w:rsidP="00AB07E0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137856" w:rsidRPr="008E142B">
        <w:rPr>
          <w:rFonts w:cs="Arial"/>
          <w:lang w:val="ru-RU"/>
        </w:rPr>
        <w:t>бязательство</w:t>
      </w:r>
      <w:r w:rsidR="00AB07E0" w:rsidRPr="008E142B">
        <w:rPr>
          <w:rFonts w:cs="Arial"/>
          <w:lang w:val="ru-RU"/>
        </w:rPr>
        <w:t xml:space="preserve"> и цель </w:t>
      </w:r>
      <w:r w:rsidR="00137856" w:rsidRPr="008E142B">
        <w:rPr>
          <w:rFonts w:cs="Arial"/>
          <w:lang w:val="ru-RU"/>
        </w:rPr>
        <w:t xml:space="preserve">по </w:t>
      </w:r>
      <w:r w:rsidR="00AB07E0" w:rsidRPr="008E142B">
        <w:rPr>
          <w:rFonts w:cs="Arial"/>
          <w:lang w:val="ru-RU"/>
        </w:rPr>
        <w:t>запуск</w:t>
      </w:r>
      <w:r w:rsidR="00137856" w:rsidRPr="008E142B">
        <w:rPr>
          <w:rFonts w:cs="Arial"/>
          <w:lang w:val="ru-RU"/>
        </w:rPr>
        <w:t>у</w:t>
      </w:r>
      <w:r w:rsidR="00AB07E0" w:rsidRPr="008E142B">
        <w:rPr>
          <w:rFonts w:cs="Arial"/>
          <w:lang w:val="ru-RU"/>
        </w:rPr>
        <w:t xml:space="preserve"> или расширени</w:t>
      </w:r>
      <w:r w:rsidR="00137856" w:rsidRPr="008E142B">
        <w:rPr>
          <w:rFonts w:cs="Arial"/>
          <w:lang w:val="ru-RU"/>
        </w:rPr>
        <w:t>ю</w:t>
      </w:r>
      <w:r w:rsidR="00AB07E0" w:rsidRPr="008E142B">
        <w:rPr>
          <w:rFonts w:cs="Arial"/>
          <w:lang w:val="ru-RU"/>
        </w:rPr>
        <w:t xml:space="preserve"> решений почтового инклюзивного страхования к концу программы PITAF, например, принятие определенных процессов, а также операционных и моделей активации</w:t>
      </w:r>
      <w:r w:rsidR="00657227" w:rsidRPr="008E142B">
        <w:rPr>
          <w:rFonts w:cs="Arial"/>
          <w:lang w:val="ru-RU"/>
        </w:rPr>
        <w:t xml:space="preserve"> продукта;</w:t>
      </w:r>
    </w:p>
    <w:p w14:paraId="0A67D216" w14:textId="26DC9499" w:rsidR="004E1D8F" w:rsidRPr="008E142B" w:rsidRDefault="008E142B" w:rsidP="004E1D8F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4E1D8F" w:rsidRPr="008E142B">
        <w:rPr>
          <w:rFonts w:cs="Arial"/>
          <w:lang w:val="ru-RU"/>
        </w:rPr>
        <w:t>беспечение дополнительного финансирования НО и его партнерами для запуска проекта по инклюзивному страхованию. НО должен быть готов софинансировать расходы по проекту, внеся сумму в размере не менее 25% от гранта, предоставленного ВПС, или не менее 10 000 долларов США (см. раздел 4 ниже);</w:t>
      </w:r>
    </w:p>
    <w:p w14:paraId="5B2D6FCD" w14:textId="0F25FF64" w:rsidR="004E1D8F" w:rsidRPr="008E142B" w:rsidRDefault="008E142B" w:rsidP="004E1D8F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137856" w:rsidRPr="008E142B">
        <w:rPr>
          <w:rFonts w:cs="Arial"/>
          <w:lang w:val="ru-RU"/>
        </w:rPr>
        <w:t>жидаемые результаты проекта в области доступности финансовых услуг включают, в частности, следующее:</w:t>
      </w:r>
    </w:p>
    <w:p w14:paraId="7A7A2D41" w14:textId="28481C2F" w:rsidR="00266929" w:rsidRPr="008E142B" w:rsidRDefault="008E142B" w:rsidP="00266929">
      <w:pPr>
        <w:pStyle w:val="2Deuximeretrait"/>
        <w:numPr>
          <w:ilvl w:val="0"/>
          <w:numId w:val="14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ц</w:t>
      </w:r>
      <w:r w:rsidR="004B0B76" w:rsidRPr="008E142B">
        <w:rPr>
          <w:rFonts w:cs="Arial"/>
          <w:lang w:val="ru-RU"/>
        </w:rPr>
        <w:t>ели</w:t>
      </w:r>
      <w:r w:rsidR="003E1304" w:rsidRPr="008E142B">
        <w:rPr>
          <w:rFonts w:cs="Arial"/>
          <w:lang w:val="ru-RU"/>
        </w:rPr>
        <w:t xml:space="preserve"> </w:t>
      </w:r>
      <w:r w:rsidR="004B0B76" w:rsidRPr="008E142B">
        <w:rPr>
          <w:rFonts w:cs="Arial"/>
          <w:lang w:val="ru-RU"/>
        </w:rPr>
        <w:t>в отношении</w:t>
      </w:r>
      <w:r w:rsidR="003E1304" w:rsidRPr="008E142B">
        <w:rPr>
          <w:rFonts w:cs="Arial"/>
          <w:lang w:val="ru-RU"/>
        </w:rPr>
        <w:t xml:space="preserve"> количества и сегментов почтовых клиентов, а также </w:t>
      </w:r>
      <w:r w:rsidR="004B0B76" w:rsidRPr="008E142B">
        <w:rPr>
          <w:rFonts w:cs="Arial"/>
          <w:lang w:val="ru-RU"/>
        </w:rPr>
        <w:t xml:space="preserve">определение </w:t>
      </w:r>
      <w:r w:rsidR="003E1304" w:rsidRPr="008E142B">
        <w:rPr>
          <w:rFonts w:cs="Arial"/>
          <w:lang w:val="ru-RU"/>
        </w:rPr>
        <w:t>типов страховых решений, которые будут внедрены</w:t>
      </w:r>
      <w:r w:rsidR="00266929" w:rsidRPr="008E142B">
        <w:rPr>
          <w:rFonts w:cs="Arial"/>
          <w:lang w:val="ru-RU"/>
        </w:rPr>
        <w:t>;</w:t>
      </w:r>
    </w:p>
    <w:p w14:paraId="7794AD58" w14:textId="2133703E" w:rsidR="004B0B76" w:rsidRPr="008E142B" w:rsidRDefault="008E142B" w:rsidP="004B0B76">
      <w:pPr>
        <w:pStyle w:val="2Deuximeretrait"/>
        <w:numPr>
          <w:ilvl w:val="0"/>
          <w:numId w:val="14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с</w:t>
      </w:r>
      <w:r w:rsidR="004B0B76" w:rsidRPr="008E142B">
        <w:rPr>
          <w:rFonts w:cs="Arial"/>
          <w:lang w:val="ru-RU"/>
        </w:rPr>
        <w:t>равнение целей и текущей рыночной ситуации для оценки доли рынка</w:t>
      </w:r>
    </w:p>
    <w:p w14:paraId="42E25ED4" w14:textId="5188FF65" w:rsidR="00266929" w:rsidRPr="008E142B" w:rsidRDefault="008E142B" w:rsidP="00266929">
      <w:pPr>
        <w:pStyle w:val="2Deuximeretrait"/>
        <w:numPr>
          <w:ilvl w:val="0"/>
          <w:numId w:val="14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о</w:t>
      </w:r>
      <w:r w:rsidR="004B0B76" w:rsidRPr="008E142B">
        <w:rPr>
          <w:rFonts w:cs="Arial"/>
          <w:lang w:val="ru-RU"/>
        </w:rPr>
        <w:t>жидаемое воздействие и вклад предлагаемого проекта для соответствующего назначенного оператора</w:t>
      </w:r>
      <w:r w:rsidR="00266929" w:rsidRPr="008E142B">
        <w:rPr>
          <w:rFonts w:cs="Arial"/>
          <w:lang w:val="ru-RU"/>
        </w:rPr>
        <w:t>;</w:t>
      </w:r>
    </w:p>
    <w:p w14:paraId="7391B635" w14:textId="062DAE95" w:rsidR="004B0B76" w:rsidRPr="008E142B" w:rsidRDefault="008E142B" w:rsidP="004B0B76">
      <w:pPr>
        <w:pStyle w:val="Deuximeretrait"/>
        <w:rPr>
          <w:lang w:val="ru-RU"/>
        </w:rPr>
      </w:pPr>
      <w:r w:rsidRPr="008E142B">
        <w:rPr>
          <w:lang w:val="ru-RU"/>
        </w:rPr>
        <w:t>о</w:t>
      </w:r>
      <w:r w:rsidR="004B0B76" w:rsidRPr="008E142B">
        <w:rPr>
          <w:lang w:val="ru-RU"/>
        </w:rPr>
        <w:t>жидаемое воздействие и вклад предлагаемого проекта с точки зрения достижения национальных целей в области доступности финансовых услуг.</w:t>
      </w:r>
    </w:p>
    <w:p w14:paraId="015CBD71" w14:textId="42FE197B" w:rsidR="00266929" w:rsidRPr="008E142B" w:rsidRDefault="00266929" w:rsidP="008E142B">
      <w:pPr>
        <w:pStyle w:val="2Deuximeretrait"/>
        <w:tabs>
          <w:tab w:val="clear" w:pos="1134"/>
        </w:tabs>
        <w:spacing w:before="0" w:line="240" w:lineRule="auto"/>
        <w:ind w:left="0" w:firstLine="0"/>
        <w:rPr>
          <w:rFonts w:cs="Arial"/>
          <w:lang w:val="ru-RU"/>
        </w:rPr>
      </w:pPr>
    </w:p>
    <w:p w14:paraId="5DDC4408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3863348" w14:textId="218F3451" w:rsidR="00F95E8D" w:rsidRPr="008E142B" w:rsidRDefault="00266929" w:rsidP="00F95E8D">
      <w:pPr>
        <w:pStyle w:val="Heading1"/>
        <w:spacing w:line="240" w:lineRule="auto"/>
        <w:rPr>
          <w:rFonts w:cs="Arial"/>
          <w:lang w:val="ru-RU"/>
        </w:rPr>
      </w:pPr>
      <w:bookmarkStart w:id="18" w:name="_Toc202952503"/>
      <w:r w:rsidRPr="008E142B">
        <w:rPr>
          <w:rFonts w:cs="Arial"/>
          <w:lang w:val="ru-RU"/>
        </w:rPr>
        <w:t>4</w:t>
      </w:r>
      <w:r w:rsidR="008E142B" w:rsidRPr="008E142B">
        <w:rPr>
          <w:rFonts w:cs="Arial"/>
          <w:lang w:val="ru-RU"/>
        </w:rPr>
        <w:t>.</w:t>
      </w:r>
      <w:r w:rsidRPr="008E142B">
        <w:rPr>
          <w:rFonts w:cs="Arial"/>
          <w:lang w:val="ru-RU"/>
        </w:rPr>
        <w:tab/>
      </w:r>
      <w:r w:rsidR="00F95E8D" w:rsidRPr="008E142B">
        <w:rPr>
          <w:rFonts w:cs="Arial"/>
          <w:lang w:val="ru-RU"/>
        </w:rPr>
        <w:t>Принципы финансирования</w:t>
      </w:r>
      <w:bookmarkEnd w:id="18"/>
    </w:p>
    <w:p w14:paraId="12A9A52D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112DB87D" w14:textId="209117AD" w:rsidR="00F95E8D" w:rsidRPr="008E142B" w:rsidRDefault="00DF3E78" w:rsidP="00F95E8D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  <w:r w:rsidRPr="008E142B">
        <w:rPr>
          <w:rFonts w:cs="Arial"/>
          <w:i/>
          <w:iCs/>
          <w:lang w:val="ru-RU"/>
        </w:rPr>
        <w:t xml:space="preserve">Финансовые ассигнования </w:t>
      </w:r>
      <w:r w:rsidR="00F95E8D" w:rsidRPr="008E142B">
        <w:rPr>
          <w:rFonts w:cs="Arial"/>
          <w:i/>
          <w:iCs/>
          <w:lang w:val="ru-RU"/>
        </w:rPr>
        <w:t xml:space="preserve">и сроки реализации </w:t>
      </w:r>
    </w:p>
    <w:p w14:paraId="5730D15D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A8FAE25" w14:textId="77777777" w:rsidR="00F95E8D" w:rsidRPr="008E142B" w:rsidRDefault="00F95E8D" w:rsidP="00F95E8D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ВПС выделит не более 40 000 долларов США на каждый выбранный проект при условии заключения соответствующего договорного документа между ВПС и участвующим назначенным оператором. Срок реализации проекта не должен превышать 12 месяцев.</w:t>
      </w:r>
    </w:p>
    <w:p w14:paraId="5DCF78DB" w14:textId="0DD6C505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5A6884A" w14:textId="7D82657F" w:rsidR="00F179EA" w:rsidRPr="008E142B" w:rsidRDefault="00F179EA" w:rsidP="00F179EA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  <w:r w:rsidRPr="008E142B">
        <w:rPr>
          <w:rFonts w:cs="Arial"/>
          <w:i/>
          <w:iCs/>
          <w:lang w:val="ru-RU"/>
        </w:rPr>
        <w:t>Совместное финансирование</w:t>
      </w:r>
    </w:p>
    <w:p w14:paraId="1AE5A3BF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7BD23C0C" w14:textId="29D847BE" w:rsidR="00F179EA" w:rsidRPr="008E142B" w:rsidRDefault="00D820BD" w:rsidP="00F179EA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Как о</w:t>
      </w:r>
      <w:r w:rsidR="00F179EA" w:rsidRPr="008E142B">
        <w:rPr>
          <w:rFonts w:cs="Arial"/>
          <w:lang w:val="ru-RU"/>
        </w:rPr>
        <w:t xml:space="preserve">жидается, бенефициары проекта внесут вклад в покрытие расходов </w:t>
      </w:r>
      <w:r w:rsidRPr="008E142B">
        <w:rPr>
          <w:rFonts w:cs="Arial"/>
          <w:lang w:val="ru-RU"/>
        </w:rPr>
        <w:t>на</w:t>
      </w:r>
      <w:r w:rsidR="00F179EA" w:rsidRPr="008E142B">
        <w:rPr>
          <w:rFonts w:cs="Arial"/>
          <w:lang w:val="ru-RU"/>
        </w:rPr>
        <w:t xml:space="preserve"> проект в размере не менее 25% от суммы гранта, предоставленного ВПС, или не менее 10 000 долларов США (например, если ВПС выделяет максимальную сумму в </w:t>
      </w:r>
      <w:r w:rsidRPr="008E142B">
        <w:rPr>
          <w:rFonts w:cs="Arial"/>
          <w:lang w:val="ru-RU"/>
        </w:rPr>
        <w:t xml:space="preserve">размере </w:t>
      </w:r>
      <w:r w:rsidR="00F179EA" w:rsidRPr="008E142B">
        <w:rPr>
          <w:rFonts w:cs="Arial"/>
          <w:lang w:val="ru-RU"/>
        </w:rPr>
        <w:t xml:space="preserve">40 000 долларов США на выбранный проект, </w:t>
      </w:r>
      <w:r w:rsidRPr="008E142B">
        <w:rPr>
          <w:rFonts w:cs="Arial"/>
          <w:lang w:val="ru-RU"/>
        </w:rPr>
        <w:t>Н</w:t>
      </w:r>
      <w:r w:rsidR="00F179EA" w:rsidRPr="008E142B">
        <w:rPr>
          <w:rFonts w:cs="Arial"/>
          <w:lang w:val="ru-RU"/>
        </w:rPr>
        <w:t xml:space="preserve">O внесет 10 000 долларов США, при общем бюджете проекта в 50 000 долларов США). В исключительных обстоятельствах и при наличии </w:t>
      </w:r>
      <w:r w:rsidR="00C15313" w:rsidRPr="008E142B">
        <w:rPr>
          <w:rFonts w:cs="Arial"/>
          <w:lang w:val="ru-RU"/>
        </w:rPr>
        <w:t xml:space="preserve">оснований </w:t>
      </w:r>
      <w:r w:rsidR="00F179EA" w:rsidRPr="008E142B">
        <w:rPr>
          <w:rFonts w:cs="Arial"/>
          <w:lang w:val="ru-RU"/>
        </w:rPr>
        <w:t>ВПС может рассмотреть возможность принятия меньшей доли или суммы со</w:t>
      </w:r>
      <w:r w:rsidR="00C15313" w:rsidRPr="008E142B">
        <w:rPr>
          <w:rFonts w:cs="Arial"/>
          <w:lang w:val="ru-RU"/>
        </w:rPr>
        <w:t xml:space="preserve">вместного </w:t>
      </w:r>
      <w:r w:rsidR="00F179EA" w:rsidRPr="008E142B">
        <w:rPr>
          <w:rFonts w:cs="Arial"/>
          <w:lang w:val="ru-RU"/>
        </w:rPr>
        <w:t>финансирования.</w:t>
      </w:r>
      <w:r w:rsidR="00C15313" w:rsidRPr="008E142B">
        <w:rPr>
          <w:lang w:val="ru-RU"/>
        </w:rPr>
        <w:t xml:space="preserve"> </w:t>
      </w:r>
    </w:p>
    <w:p w14:paraId="77759F27" w14:textId="77777777" w:rsidR="00F179EA" w:rsidRPr="008E142B" w:rsidRDefault="00F179EA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71265FD" w14:textId="2CAA9E0B" w:rsidR="00266929" w:rsidRPr="008E142B" w:rsidRDefault="00C15313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Кроме того, бенефициары должны указывать любые взносы своих партнеров.</w:t>
      </w:r>
    </w:p>
    <w:p w14:paraId="52D53AC8" w14:textId="77777777" w:rsidR="00C15313" w:rsidRPr="008E142B" w:rsidRDefault="00C15313" w:rsidP="00266929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</w:p>
    <w:p w14:paraId="07DF5E6D" w14:textId="4ACF2CA7" w:rsidR="00266929" w:rsidRPr="008E142B" w:rsidRDefault="007F248C" w:rsidP="00266929">
      <w:pPr>
        <w:widowControl w:val="0"/>
        <w:spacing w:line="240" w:lineRule="auto"/>
        <w:jc w:val="both"/>
        <w:rPr>
          <w:rFonts w:cs="Arial"/>
          <w:i/>
          <w:iCs/>
          <w:lang w:val="ru-RU"/>
        </w:rPr>
      </w:pPr>
      <w:r w:rsidRPr="008E142B">
        <w:rPr>
          <w:rFonts w:cs="Arial"/>
          <w:i/>
          <w:iCs/>
          <w:lang w:val="ru-RU"/>
        </w:rPr>
        <w:t>Допустимые расходы</w:t>
      </w:r>
    </w:p>
    <w:p w14:paraId="1F3621F7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7AC1B434" w14:textId="6E13DA14" w:rsidR="00266929" w:rsidRPr="008E142B" w:rsidRDefault="00254FA6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Ожидается, что грант покроет расходы, связанные с четырьмя основными тематическими областями программы PITAF</w:t>
      </w:r>
      <w:r w:rsidR="00266929" w:rsidRPr="008E142B">
        <w:rPr>
          <w:rFonts w:cs="Arial"/>
          <w:lang w:val="ru-RU"/>
        </w:rPr>
        <w:t>:</w:t>
      </w:r>
    </w:p>
    <w:p w14:paraId="2906F57D" w14:textId="3FCA619A" w:rsidR="00254FA6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р</w:t>
      </w:r>
      <w:r w:rsidR="00254FA6" w:rsidRPr="008E142B">
        <w:rPr>
          <w:rFonts w:cs="Arial"/>
          <w:lang w:val="ru-RU"/>
        </w:rPr>
        <w:t>азработк</w:t>
      </w:r>
      <w:r w:rsidRPr="008E142B">
        <w:rPr>
          <w:rFonts w:cs="Arial"/>
          <w:lang w:val="ru-RU"/>
        </w:rPr>
        <w:t>а страховых решений и продуктов;</w:t>
      </w:r>
    </w:p>
    <w:p w14:paraId="60B621A6" w14:textId="05A3DABE" w:rsidR="00254FA6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техническая интеграция;</w:t>
      </w:r>
    </w:p>
    <w:p w14:paraId="1473E874" w14:textId="416B9B5F" w:rsidR="00266929" w:rsidRPr="008E142B" w:rsidRDefault="008E142B" w:rsidP="00266929">
      <w:pPr>
        <w:pStyle w:val="1Premierretrait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м</w:t>
      </w:r>
      <w:r w:rsidR="00254FA6" w:rsidRPr="008E142B">
        <w:rPr>
          <w:rFonts w:cs="Arial"/>
          <w:lang w:val="ru-RU"/>
        </w:rPr>
        <w:t>аркетинг и привлечение клиентов</w:t>
      </w:r>
      <w:r w:rsidRPr="008E142B">
        <w:rPr>
          <w:rFonts w:cs="Arial"/>
          <w:lang w:val="ru-RU"/>
        </w:rPr>
        <w:t>;</w:t>
      </w:r>
    </w:p>
    <w:p w14:paraId="23A8D82B" w14:textId="04D453A0" w:rsidR="00254FA6" w:rsidRPr="008E142B" w:rsidRDefault="008E142B" w:rsidP="00B771B9">
      <w:pPr>
        <w:pStyle w:val="1Premierretrait"/>
        <w:widowControl w:val="0"/>
        <w:numPr>
          <w:ilvl w:val="0"/>
          <w:numId w:val="13"/>
        </w:numPr>
        <w:spacing w:line="240" w:lineRule="auto"/>
        <w:rPr>
          <w:rFonts w:cs="Arial"/>
          <w:lang w:val="ru-RU"/>
        </w:rPr>
      </w:pPr>
      <w:r w:rsidRPr="008E142B">
        <w:rPr>
          <w:rFonts w:cs="Arial"/>
          <w:lang w:val="ru-RU"/>
        </w:rPr>
        <w:t>п</w:t>
      </w:r>
      <w:r w:rsidR="00254FA6" w:rsidRPr="008E142B">
        <w:rPr>
          <w:rFonts w:cs="Arial"/>
          <w:lang w:val="ru-RU"/>
        </w:rPr>
        <w:t>овышение грамотности и н</w:t>
      </w:r>
      <w:r w:rsidRPr="008E142B">
        <w:rPr>
          <w:rFonts w:cs="Arial"/>
          <w:lang w:val="ru-RU"/>
        </w:rPr>
        <w:t>аращивание потенциала в области.</w:t>
      </w:r>
    </w:p>
    <w:p w14:paraId="615DADEF" w14:textId="1A17C029" w:rsidR="00266929" w:rsidRPr="008E142B" w:rsidRDefault="00254FA6" w:rsidP="00266929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lastRenderedPageBreak/>
        <w:t>Следует отметить, что фактическое распределение средств по тематическим областям будет определ</w:t>
      </w:r>
      <w:r w:rsidR="007D13BC" w:rsidRPr="008E142B">
        <w:rPr>
          <w:rFonts w:cs="Arial"/>
          <w:lang w:val="ru-RU"/>
        </w:rPr>
        <w:t>яться</w:t>
      </w:r>
      <w:r w:rsidRPr="008E142B">
        <w:rPr>
          <w:rFonts w:cs="Arial"/>
          <w:lang w:val="ru-RU"/>
        </w:rPr>
        <w:t xml:space="preserve"> в </w:t>
      </w:r>
      <w:r w:rsidR="00997E77" w:rsidRPr="008E142B">
        <w:rPr>
          <w:rFonts w:cs="Arial"/>
          <w:lang w:val="ru-RU"/>
        </w:rPr>
        <w:t>договорном</w:t>
      </w:r>
      <w:r w:rsidRPr="008E142B">
        <w:rPr>
          <w:rFonts w:cs="Arial"/>
          <w:lang w:val="ru-RU"/>
        </w:rPr>
        <w:t xml:space="preserve"> документе между ВПС и участвующими </w:t>
      </w:r>
      <w:r w:rsidR="00997E77" w:rsidRPr="008E142B">
        <w:rPr>
          <w:rFonts w:cs="Arial"/>
          <w:lang w:val="ru-RU"/>
        </w:rPr>
        <w:t>Н</w:t>
      </w:r>
      <w:r w:rsidRPr="008E142B">
        <w:rPr>
          <w:rFonts w:cs="Arial"/>
          <w:lang w:val="ru-RU"/>
        </w:rPr>
        <w:t>О</w:t>
      </w:r>
      <w:r w:rsidR="00997E77" w:rsidRPr="008E142B">
        <w:rPr>
          <w:rFonts w:cs="Arial"/>
          <w:lang w:val="ru-RU"/>
        </w:rPr>
        <w:t>.</w:t>
      </w:r>
    </w:p>
    <w:p w14:paraId="0678B221" w14:textId="6098D101" w:rsidR="00997E77" w:rsidRDefault="00997E77" w:rsidP="00266929">
      <w:pPr>
        <w:pStyle w:val="Heading1"/>
        <w:spacing w:line="240" w:lineRule="auto"/>
        <w:rPr>
          <w:rFonts w:cs="Arial"/>
          <w:lang w:val="ru-RU"/>
        </w:rPr>
      </w:pPr>
    </w:p>
    <w:p w14:paraId="6196EFD3" w14:textId="77777777" w:rsidR="008E142B" w:rsidRPr="008E142B" w:rsidRDefault="008E142B" w:rsidP="008E142B">
      <w:pPr>
        <w:pStyle w:val="Textedebase"/>
        <w:rPr>
          <w:lang w:val="ru-RU"/>
        </w:rPr>
      </w:pPr>
    </w:p>
    <w:p w14:paraId="65F0C46D" w14:textId="767B5108" w:rsidR="00266929" w:rsidRPr="008E142B" w:rsidRDefault="00266929" w:rsidP="00266929">
      <w:pPr>
        <w:pStyle w:val="Heading1"/>
        <w:spacing w:line="240" w:lineRule="auto"/>
        <w:rPr>
          <w:rFonts w:cs="Arial"/>
          <w:lang w:val="ru-RU"/>
        </w:rPr>
      </w:pPr>
      <w:bookmarkStart w:id="19" w:name="_Toc202952504"/>
      <w:r w:rsidRPr="008E142B">
        <w:rPr>
          <w:rFonts w:cs="Arial"/>
          <w:lang w:val="ru-RU"/>
        </w:rPr>
        <w:t>5</w:t>
      </w:r>
      <w:r w:rsidR="008E142B">
        <w:rPr>
          <w:rFonts w:cs="Arial"/>
          <w:lang w:val="ru-RU"/>
        </w:rPr>
        <w:t>.</w:t>
      </w:r>
      <w:r w:rsidRPr="008E142B">
        <w:rPr>
          <w:rFonts w:cs="Arial"/>
          <w:lang w:val="ru-RU"/>
        </w:rPr>
        <w:tab/>
      </w:r>
      <w:r w:rsidR="00DB478E" w:rsidRPr="008E142B">
        <w:rPr>
          <w:rFonts w:cs="Arial"/>
          <w:lang w:val="ru-RU"/>
        </w:rPr>
        <w:t>Процедура подачи заявки</w:t>
      </w:r>
      <w:bookmarkEnd w:id="19"/>
    </w:p>
    <w:p w14:paraId="60AC65FC" w14:textId="77777777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2EE7309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Все проектные предложения должны соответствовать шаблону в Приложении 1.</w:t>
      </w:r>
    </w:p>
    <w:p w14:paraId="30BFD95E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40E7D6A4" w14:textId="0E40ED6E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Этот шаблон также можно загрузить по адресу: www.upu.int/en/universal-postal-union/activities/financial-services#financial-inclusion.</w:t>
      </w:r>
    </w:p>
    <w:p w14:paraId="1922158A" w14:textId="77777777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4BA11F4E" w14:textId="3BC1AC94" w:rsidR="00DB478E" w:rsidRPr="008E142B" w:rsidRDefault="00DB478E" w:rsidP="00DB478E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Его также можно запросить по электронной почте (PITAF@upu.int).</w:t>
      </w:r>
    </w:p>
    <w:p w14:paraId="16F12B49" w14:textId="77777777" w:rsidR="00DB478E" w:rsidRPr="008E142B" w:rsidRDefault="00DB478E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1D1F0D40" w14:textId="5F9DC3BD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Заявки должны содержать следующие документы в формате PDF:</w:t>
      </w:r>
    </w:p>
    <w:p w14:paraId="4B4C1B54" w14:textId="4482146C" w:rsidR="00D15DBC" w:rsidRPr="008E142B" w:rsidRDefault="008E142B" w:rsidP="008E142B">
      <w:pPr>
        <w:widowControl w:val="0"/>
        <w:spacing w:before="12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–</w:t>
      </w:r>
      <w:r>
        <w:rPr>
          <w:rFonts w:cs="Arial"/>
          <w:lang w:val="ru-RU"/>
        </w:rPr>
        <w:tab/>
      </w:r>
      <w:r w:rsidR="00D15DBC" w:rsidRPr="008E142B">
        <w:rPr>
          <w:rFonts w:cs="Arial"/>
          <w:lang w:val="ru-RU"/>
        </w:rPr>
        <w:t xml:space="preserve">Бланк проектного предложения (Приложение 1); </w:t>
      </w:r>
    </w:p>
    <w:p w14:paraId="41C13F81" w14:textId="029542E6" w:rsidR="00D15DBC" w:rsidRPr="008E142B" w:rsidRDefault="008E142B" w:rsidP="008E142B">
      <w:pPr>
        <w:widowControl w:val="0"/>
        <w:spacing w:before="12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–</w:t>
      </w:r>
      <w:r>
        <w:rPr>
          <w:rFonts w:cs="Arial"/>
          <w:lang w:val="ru-RU"/>
        </w:rPr>
        <w:tab/>
      </w:r>
      <w:r w:rsidR="00D15DBC" w:rsidRPr="008E142B">
        <w:rPr>
          <w:rFonts w:cs="Arial"/>
          <w:lang w:val="ru-RU"/>
        </w:rPr>
        <w:t xml:space="preserve">Бланк бюджета проекта (Приложение 2). </w:t>
      </w:r>
    </w:p>
    <w:p w14:paraId="53C0CF8B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2DAE1779" w14:textId="26E6E289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Заявки должны быть поданы на английском или французском языках (рабочие языки Международного бюро ВПС). </w:t>
      </w:r>
    </w:p>
    <w:p w14:paraId="028D6FD9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6F61D586" w14:textId="17496CCF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 xml:space="preserve">Заявки должны быть поданы в электронном виде по адресу: PITAF@upu.int </w:t>
      </w:r>
      <w:r w:rsidRPr="008E142B">
        <w:rPr>
          <w:rFonts w:cs="Arial"/>
          <w:b/>
          <w:bCs/>
          <w:lang w:val="ru-RU"/>
        </w:rPr>
        <w:t>до 29 августа 2025 года</w:t>
      </w:r>
      <w:r w:rsidRPr="008E142B">
        <w:rPr>
          <w:rFonts w:cs="Arial"/>
          <w:lang w:val="ru-RU"/>
        </w:rPr>
        <w:t xml:space="preserve">. </w:t>
      </w:r>
    </w:p>
    <w:p w14:paraId="76E0048F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p w14:paraId="0AC74E1C" w14:textId="070895A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Заявки, не соответствующие вышеуказанным требованиям, рассматриваться не будут.</w:t>
      </w:r>
    </w:p>
    <w:p w14:paraId="6F65436F" w14:textId="000975E1" w:rsidR="00266929" w:rsidRPr="008E142B" w:rsidRDefault="00266929" w:rsidP="00266929">
      <w:pPr>
        <w:widowControl w:val="0"/>
        <w:spacing w:line="240" w:lineRule="auto"/>
        <w:jc w:val="both"/>
        <w:rPr>
          <w:rFonts w:cs="Arial"/>
          <w:lang w:val="ru-RU"/>
        </w:rPr>
      </w:pPr>
    </w:p>
    <w:bookmarkEnd w:id="7"/>
    <w:bookmarkEnd w:id="11"/>
    <w:bookmarkEnd w:id="12"/>
    <w:bookmarkEnd w:id="13"/>
    <w:bookmarkEnd w:id="14"/>
    <w:bookmarkEnd w:id="15"/>
    <w:p w14:paraId="2E71ADF7" w14:textId="77777777" w:rsidR="00D15DBC" w:rsidRPr="008E142B" w:rsidRDefault="00D15DBC" w:rsidP="00D15DBC">
      <w:pPr>
        <w:widowControl w:val="0"/>
        <w:spacing w:line="240" w:lineRule="auto"/>
        <w:jc w:val="both"/>
        <w:rPr>
          <w:rFonts w:cs="Arial"/>
          <w:lang w:val="ru-RU"/>
        </w:rPr>
      </w:pPr>
      <w:r w:rsidRPr="008E142B">
        <w:rPr>
          <w:rFonts w:cs="Arial"/>
          <w:lang w:val="ru-RU"/>
        </w:rPr>
        <w:t>Контакт: PITAF@upu.int</w:t>
      </w:r>
    </w:p>
    <w:p w14:paraId="6DF0E9D1" w14:textId="5D01F06F" w:rsidR="00266929" w:rsidRPr="008E142B" w:rsidRDefault="00266929" w:rsidP="00D15DBC">
      <w:pPr>
        <w:widowControl w:val="0"/>
        <w:spacing w:line="240" w:lineRule="auto"/>
        <w:jc w:val="both"/>
        <w:rPr>
          <w:rFonts w:cs="Arial"/>
          <w:lang w:val="ru-RU"/>
        </w:rPr>
      </w:pPr>
    </w:p>
    <w:sectPr w:rsidR="00266929" w:rsidRPr="008E142B" w:rsidSect="00D830B6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3B15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54A77571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CAF7" w14:textId="77777777" w:rsidR="00551A23" w:rsidRPr="008E0527" w:rsidRDefault="00D830B6">
    <w:pPr>
      <w:pStyle w:val="Footer"/>
      <w:rPr>
        <w:sz w:val="16"/>
        <w:szCs w:val="16"/>
        <w:lang w:val="ru-RU"/>
      </w:rPr>
    </w:pPr>
    <w:r>
      <w:rPr>
        <w:sz w:val="16"/>
        <w:szCs w:val="16"/>
        <w:lang w:val="en-US"/>
      </w:rPr>
      <w:t>Art</w:t>
    </w:r>
    <w:r w:rsidR="008E0527">
      <w:rPr>
        <w:sz w:val="16"/>
        <w:szCs w:val="16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DE09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5AF77011" w14:textId="77777777" w:rsidR="00F249ED" w:rsidRDefault="00F249ED" w:rsidP="009E7ADC"/>
  </w:footnote>
  <w:footnote w:type="continuationNotice" w:id="1">
    <w:p w14:paraId="61F1726F" w14:textId="77777777" w:rsidR="00F249ED" w:rsidRDefault="00F249ED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9545" w14:textId="77777777" w:rsidR="00237B46" w:rsidRDefault="00237B46">
    <w:pPr>
      <w:jc w:val="center"/>
    </w:pPr>
    <w:r>
      <w:pgNum/>
    </w:r>
  </w:p>
  <w:p w14:paraId="2F625B7F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1608" w14:textId="77777777" w:rsidR="00237B46" w:rsidRDefault="00237B46" w:rsidP="00F639BA">
    <w:pPr>
      <w:jc w:val="center"/>
    </w:pPr>
    <w:r>
      <w:pgNum/>
    </w:r>
  </w:p>
  <w:p w14:paraId="1B762F2A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06B4" w14:textId="77777777" w:rsidR="00237B46" w:rsidRPr="005A1FD5" w:rsidRDefault="008849D5" w:rsidP="005C096F">
    <w:pPr>
      <w:pStyle w:val="Header"/>
      <w:spacing w:after="1320" w:line="240" w:lineRule="atLeast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E3248B3" wp14:editId="6A1BF04A">
          <wp:simplePos x="0" y="0"/>
          <wp:positionH relativeFrom="column">
            <wp:posOffset>-243205</wp:posOffset>
          </wp:positionH>
          <wp:positionV relativeFrom="paragraph">
            <wp:posOffset>-129540</wp:posOffset>
          </wp:positionV>
          <wp:extent cx="1823085" cy="445135"/>
          <wp:effectExtent l="0" t="0" r="0" b="0"/>
          <wp:wrapNone/>
          <wp:docPr id="17" name="Рисунок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51B637B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39"/>
    <w:rsid w:val="000021DD"/>
    <w:rsid w:val="00003402"/>
    <w:rsid w:val="00004D2B"/>
    <w:rsid w:val="000059AD"/>
    <w:rsid w:val="0001536F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AE3"/>
    <w:rsid w:val="00060E76"/>
    <w:rsid w:val="000617DC"/>
    <w:rsid w:val="00065527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51E8"/>
    <w:rsid w:val="00136C86"/>
    <w:rsid w:val="00137856"/>
    <w:rsid w:val="001402AF"/>
    <w:rsid w:val="001517EB"/>
    <w:rsid w:val="00152C50"/>
    <w:rsid w:val="00152CF5"/>
    <w:rsid w:val="001540CC"/>
    <w:rsid w:val="0015734D"/>
    <w:rsid w:val="001678D3"/>
    <w:rsid w:val="001834A5"/>
    <w:rsid w:val="00183A08"/>
    <w:rsid w:val="00187C86"/>
    <w:rsid w:val="001934EE"/>
    <w:rsid w:val="00194D75"/>
    <w:rsid w:val="001955CD"/>
    <w:rsid w:val="00197749"/>
    <w:rsid w:val="001A354D"/>
    <w:rsid w:val="001A4314"/>
    <w:rsid w:val="001A6CB9"/>
    <w:rsid w:val="001B054C"/>
    <w:rsid w:val="001C5D3A"/>
    <w:rsid w:val="001D0898"/>
    <w:rsid w:val="001D5061"/>
    <w:rsid w:val="001E0AE1"/>
    <w:rsid w:val="001E2F1C"/>
    <w:rsid w:val="001F17AA"/>
    <w:rsid w:val="001F5347"/>
    <w:rsid w:val="001F5C85"/>
    <w:rsid w:val="00205BF5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B46"/>
    <w:rsid w:val="002445A7"/>
    <w:rsid w:val="00250B58"/>
    <w:rsid w:val="00254FA6"/>
    <w:rsid w:val="00260D7A"/>
    <w:rsid w:val="00262D50"/>
    <w:rsid w:val="002652EC"/>
    <w:rsid w:val="00265439"/>
    <w:rsid w:val="00266752"/>
    <w:rsid w:val="00266929"/>
    <w:rsid w:val="0026706D"/>
    <w:rsid w:val="00272937"/>
    <w:rsid w:val="00274233"/>
    <w:rsid w:val="00282124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D7FA0"/>
    <w:rsid w:val="002F3868"/>
    <w:rsid w:val="002F4419"/>
    <w:rsid w:val="002F7773"/>
    <w:rsid w:val="002F7C86"/>
    <w:rsid w:val="003002DC"/>
    <w:rsid w:val="003024AE"/>
    <w:rsid w:val="003037C8"/>
    <w:rsid w:val="00306A31"/>
    <w:rsid w:val="003118BD"/>
    <w:rsid w:val="00311D7D"/>
    <w:rsid w:val="00321F52"/>
    <w:rsid w:val="00325132"/>
    <w:rsid w:val="003303F2"/>
    <w:rsid w:val="00331C6E"/>
    <w:rsid w:val="003405FB"/>
    <w:rsid w:val="003407BC"/>
    <w:rsid w:val="00341428"/>
    <w:rsid w:val="00342CD6"/>
    <w:rsid w:val="00347469"/>
    <w:rsid w:val="003521DA"/>
    <w:rsid w:val="00354DA5"/>
    <w:rsid w:val="00355163"/>
    <w:rsid w:val="00357FE9"/>
    <w:rsid w:val="00360569"/>
    <w:rsid w:val="00361DE6"/>
    <w:rsid w:val="003703DD"/>
    <w:rsid w:val="00372B67"/>
    <w:rsid w:val="0037420A"/>
    <w:rsid w:val="003750AE"/>
    <w:rsid w:val="00375869"/>
    <w:rsid w:val="003832B0"/>
    <w:rsid w:val="00385C22"/>
    <w:rsid w:val="00390007"/>
    <w:rsid w:val="00391676"/>
    <w:rsid w:val="00391711"/>
    <w:rsid w:val="003957E6"/>
    <w:rsid w:val="003968C5"/>
    <w:rsid w:val="003A42EA"/>
    <w:rsid w:val="003B1D1D"/>
    <w:rsid w:val="003B1F46"/>
    <w:rsid w:val="003B5CE8"/>
    <w:rsid w:val="003C0542"/>
    <w:rsid w:val="003C23FE"/>
    <w:rsid w:val="003D2E6B"/>
    <w:rsid w:val="003E1304"/>
    <w:rsid w:val="003E1966"/>
    <w:rsid w:val="003E2B74"/>
    <w:rsid w:val="003E3670"/>
    <w:rsid w:val="003E3A37"/>
    <w:rsid w:val="003E598F"/>
    <w:rsid w:val="003E6DF8"/>
    <w:rsid w:val="003F0E75"/>
    <w:rsid w:val="003F503E"/>
    <w:rsid w:val="0041136F"/>
    <w:rsid w:val="00422F57"/>
    <w:rsid w:val="004322CF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875F6"/>
    <w:rsid w:val="0049418E"/>
    <w:rsid w:val="004A31FB"/>
    <w:rsid w:val="004A3923"/>
    <w:rsid w:val="004A4467"/>
    <w:rsid w:val="004B0B76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0BC3"/>
    <w:rsid w:val="004E1D8F"/>
    <w:rsid w:val="004E1F28"/>
    <w:rsid w:val="004E2B3B"/>
    <w:rsid w:val="004E63E4"/>
    <w:rsid w:val="004F6D5D"/>
    <w:rsid w:val="00502F0E"/>
    <w:rsid w:val="00512C0C"/>
    <w:rsid w:val="00514A9F"/>
    <w:rsid w:val="00515069"/>
    <w:rsid w:val="00516D4D"/>
    <w:rsid w:val="0051701F"/>
    <w:rsid w:val="00520A30"/>
    <w:rsid w:val="00521ABA"/>
    <w:rsid w:val="00527D68"/>
    <w:rsid w:val="00527FF5"/>
    <w:rsid w:val="00533F71"/>
    <w:rsid w:val="00536510"/>
    <w:rsid w:val="00537CBB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90BBB"/>
    <w:rsid w:val="005A1FD5"/>
    <w:rsid w:val="005B0D0F"/>
    <w:rsid w:val="005B20C7"/>
    <w:rsid w:val="005C096F"/>
    <w:rsid w:val="005C2838"/>
    <w:rsid w:val="005C2E78"/>
    <w:rsid w:val="005C34EA"/>
    <w:rsid w:val="005C360D"/>
    <w:rsid w:val="005C611C"/>
    <w:rsid w:val="005D36DD"/>
    <w:rsid w:val="005D36F8"/>
    <w:rsid w:val="005D42D7"/>
    <w:rsid w:val="005F0892"/>
    <w:rsid w:val="005F4A1C"/>
    <w:rsid w:val="006008BB"/>
    <w:rsid w:val="00602A6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57227"/>
    <w:rsid w:val="00663E28"/>
    <w:rsid w:val="0066535B"/>
    <w:rsid w:val="006724B1"/>
    <w:rsid w:val="00685622"/>
    <w:rsid w:val="00695C16"/>
    <w:rsid w:val="006A151E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F048A"/>
    <w:rsid w:val="006F286B"/>
    <w:rsid w:val="006F59BF"/>
    <w:rsid w:val="00707BA9"/>
    <w:rsid w:val="00707C86"/>
    <w:rsid w:val="00717D08"/>
    <w:rsid w:val="00731A4E"/>
    <w:rsid w:val="007351BE"/>
    <w:rsid w:val="00740614"/>
    <w:rsid w:val="007412ED"/>
    <w:rsid w:val="00745114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0553"/>
    <w:rsid w:val="00772998"/>
    <w:rsid w:val="0077420D"/>
    <w:rsid w:val="00783C7C"/>
    <w:rsid w:val="007848CC"/>
    <w:rsid w:val="007852F3"/>
    <w:rsid w:val="00785692"/>
    <w:rsid w:val="00794D1C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7CD"/>
    <w:rsid w:val="007D13BC"/>
    <w:rsid w:val="007D2933"/>
    <w:rsid w:val="007D5087"/>
    <w:rsid w:val="007D6956"/>
    <w:rsid w:val="007E0A42"/>
    <w:rsid w:val="007E5BE4"/>
    <w:rsid w:val="007F18B9"/>
    <w:rsid w:val="007F248C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39A9"/>
    <w:rsid w:val="00894CD8"/>
    <w:rsid w:val="00897E26"/>
    <w:rsid w:val="008A06ED"/>
    <w:rsid w:val="008A4970"/>
    <w:rsid w:val="008A5A68"/>
    <w:rsid w:val="008B4C84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142B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651C"/>
    <w:rsid w:val="00916A65"/>
    <w:rsid w:val="00932DC4"/>
    <w:rsid w:val="009412BA"/>
    <w:rsid w:val="009434D3"/>
    <w:rsid w:val="009569DE"/>
    <w:rsid w:val="009570A4"/>
    <w:rsid w:val="00957480"/>
    <w:rsid w:val="00957FCD"/>
    <w:rsid w:val="009601F5"/>
    <w:rsid w:val="009670FF"/>
    <w:rsid w:val="0097179C"/>
    <w:rsid w:val="00973903"/>
    <w:rsid w:val="00974119"/>
    <w:rsid w:val="009758B8"/>
    <w:rsid w:val="00982413"/>
    <w:rsid w:val="00983A72"/>
    <w:rsid w:val="00992A06"/>
    <w:rsid w:val="00997E77"/>
    <w:rsid w:val="009A2B60"/>
    <w:rsid w:val="009A6FAC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D7A8C"/>
    <w:rsid w:val="009E4608"/>
    <w:rsid w:val="009E4FEF"/>
    <w:rsid w:val="009E7ADC"/>
    <w:rsid w:val="009F110E"/>
    <w:rsid w:val="009F36E2"/>
    <w:rsid w:val="009F5DD6"/>
    <w:rsid w:val="009F6AB1"/>
    <w:rsid w:val="009F706F"/>
    <w:rsid w:val="00A05308"/>
    <w:rsid w:val="00A05C8E"/>
    <w:rsid w:val="00A06C89"/>
    <w:rsid w:val="00A105F8"/>
    <w:rsid w:val="00A11366"/>
    <w:rsid w:val="00A1574F"/>
    <w:rsid w:val="00A213DB"/>
    <w:rsid w:val="00A418A0"/>
    <w:rsid w:val="00A41B51"/>
    <w:rsid w:val="00A456E9"/>
    <w:rsid w:val="00A46B16"/>
    <w:rsid w:val="00A474C6"/>
    <w:rsid w:val="00A50E38"/>
    <w:rsid w:val="00A53E1E"/>
    <w:rsid w:val="00A53FAB"/>
    <w:rsid w:val="00A552FE"/>
    <w:rsid w:val="00A5792F"/>
    <w:rsid w:val="00A60803"/>
    <w:rsid w:val="00A733EA"/>
    <w:rsid w:val="00A73891"/>
    <w:rsid w:val="00A75AA9"/>
    <w:rsid w:val="00A76F05"/>
    <w:rsid w:val="00A80662"/>
    <w:rsid w:val="00A809D7"/>
    <w:rsid w:val="00A92377"/>
    <w:rsid w:val="00A931DB"/>
    <w:rsid w:val="00AA01D2"/>
    <w:rsid w:val="00AA61ED"/>
    <w:rsid w:val="00AA6DB8"/>
    <w:rsid w:val="00AB07E0"/>
    <w:rsid w:val="00AB2AC8"/>
    <w:rsid w:val="00AB33B4"/>
    <w:rsid w:val="00AB3C75"/>
    <w:rsid w:val="00AB3DFD"/>
    <w:rsid w:val="00AB5328"/>
    <w:rsid w:val="00AB6404"/>
    <w:rsid w:val="00AB7653"/>
    <w:rsid w:val="00AC025A"/>
    <w:rsid w:val="00AC173C"/>
    <w:rsid w:val="00AC2359"/>
    <w:rsid w:val="00AC3CED"/>
    <w:rsid w:val="00AD09B3"/>
    <w:rsid w:val="00AD0FE6"/>
    <w:rsid w:val="00AD4BF8"/>
    <w:rsid w:val="00AD5EE3"/>
    <w:rsid w:val="00AE2BF2"/>
    <w:rsid w:val="00AE3411"/>
    <w:rsid w:val="00AE5C5C"/>
    <w:rsid w:val="00AE7492"/>
    <w:rsid w:val="00AF261E"/>
    <w:rsid w:val="00AF48F7"/>
    <w:rsid w:val="00B008EC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57A8"/>
    <w:rsid w:val="00B57BEC"/>
    <w:rsid w:val="00B627E6"/>
    <w:rsid w:val="00B64519"/>
    <w:rsid w:val="00B6464E"/>
    <w:rsid w:val="00B64964"/>
    <w:rsid w:val="00B65C8E"/>
    <w:rsid w:val="00B67362"/>
    <w:rsid w:val="00B67832"/>
    <w:rsid w:val="00B70D51"/>
    <w:rsid w:val="00B7190D"/>
    <w:rsid w:val="00B838AD"/>
    <w:rsid w:val="00B86608"/>
    <w:rsid w:val="00B86B02"/>
    <w:rsid w:val="00BA404F"/>
    <w:rsid w:val="00BA7099"/>
    <w:rsid w:val="00BA75C5"/>
    <w:rsid w:val="00BB09F3"/>
    <w:rsid w:val="00BC0807"/>
    <w:rsid w:val="00BC1442"/>
    <w:rsid w:val="00BC37A2"/>
    <w:rsid w:val="00BC4D54"/>
    <w:rsid w:val="00BD649A"/>
    <w:rsid w:val="00BE7E2B"/>
    <w:rsid w:val="00BF2822"/>
    <w:rsid w:val="00BF32E8"/>
    <w:rsid w:val="00BF5B9E"/>
    <w:rsid w:val="00C025AA"/>
    <w:rsid w:val="00C067D2"/>
    <w:rsid w:val="00C06D24"/>
    <w:rsid w:val="00C11D2D"/>
    <w:rsid w:val="00C1307C"/>
    <w:rsid w:val="00C13E0E"/>
    <w:rsid w:val="00C14EA8"/>
    <w:rsid w:val="00C15313"/>
    <w:rsid w:val="00C21452"/>
    <w:rsid w:val="00C22AA9"/>
    <w:rsid w:val="00C2769E"/>
    <w:rsid w:val="00C34AA9"/>
    <w:rsid w:val="00C35110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E18DF"/>
    <w:rsid w:val="00CE2270"/>
    <w:rsid w:val="00CE48FE"/>
    <w:rsid w:val="00CE7FA0"/>
    <w:rsid w:val="00CF112F"/>
    <w:rsid w:val="00D154F8"/>
    <w:rsid w:val="00D15DBC"/>
    <w:rsid w:val="00D168EF"/>
    <w:rsid w:val="00D20D79"/>
    <w:rsid w:val="00D212A4"/>
    <w:rsid w:val="00D21F42"/>
    <w:rsid w:val="00D3302A"/>
    <w:rsid w:val="00D33C7F"/>
    <w:rsid w:val="00D34650"/>
    <w:rsid w:val="00D34F97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0BD"/>
    <w:rsid w:val="00D82411"/>
    <w:rsid w:val="00D82678"/>
    <w:rsid w:val="00D830B6"/>
    <w:rsid w:val="00D868D9"/>
    <w:rsid w:val="00D86CDF"/>
    <w:rsid w:val="00D94916"/>
    <w:rsid w:val="00D954D3"/>
    <w:rsid w:val="00DA1113"/>
    <w:rsid w:val="00DA1914"/>
    <w:rsid w:val="00DA646A"/>
    <w:rsid w:val="00DB478E"/>
    <w:rsid w:val="00DB7EC0"/>
    <w:rsid w:val="00DC324D"/>
    <w:rsid w:val="00DC33D9"/>
    <w:rsid w:val="00DC4D86"/>
    <w:rsid w:val="00DD196A"/>
    <w:rsid w:val="00DD363A"/>
    <w:rsid w:val="00DD6417"/>
    <w:rsid w:val="00DE0ACA"/>
    <w:rsid w:val="00DF0A3E"/>
    <w:rsid w:val="00DF3E78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3860"/>
    <w:rsid w:val="00E3448B"/>
    <w:rsid w:val="00E37282"/>
    <w:rsid w:val="00E3731A"/>
    <w:rsid w:val="00E42805"/>
    <w:rsid w:val="00E54ABF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2CBB"/>
    <w:rsid w:val="00EC487D"/>
    <w:rsid w:val="00EC56E3"/>
    <w:rsid w:val="00ED183A"/>
    <w:rsid w:val="00ED515C"/>
    <w:rsid w:val="00ED6707"/>
    <w:rsid w:val="00ED7E1E"/>
    <w:rsid w:val="00EE2A91"/>
    <w:rsid w:val="00EE35EC"/>
    <w:rsid w:val="00EE6A5F"/>
    <w:rsid w:val="00EF1A59"/>
    <w:rsid w:val="00EF2BE8"/>
    <w:rsid w:val="00F0400E"/>
    <w:rsid w:val="00F11A72"/>
    <w:rsid w:val="00F141FA"/>
    <w:rsid w:val="00F1481D"/>
    <w:rsid w:val="00F15EB7"/>
    <w:rsid w:val="00F162CF"/>
    <w:rsid w:val="00F16762"/>
    <w:rsid w:val="00F179EA"/>
    <w:rsid w:val="00F249ED"/>
    <w:rsid w:val="00F30644"/>
    <w:rsid w:val="00F33A54"/>
    <w:rsid w:val="00F50C1C"/>
    <w:rsid w:val="00F521BF"/>
    <w:rsid w:val="00F60458"/>
    <w:rsid w:val="00F6214A"/>
    <w:rsid w:val="00F639BA"/>
    <w:rsid w:val="00F63FC4"/>
    <w:rsid w:val="00F71983"/>
    <w:rsid w:val="00F75898"/>
    <w:rsid w:val="00F83D6E"/>
    <w:rsid w:val="00F84B25"/>
    <w:rsid w:val="00F85D7A"/>
    <w:rsid w:val="00F86172"/>
    <w:rsid w:val="00F87A5B"/>
    <w:rsid w:val="00F92E78"/>
    <w:rsid w:val="00F93C63"/>
    <w:rsid w:val="00F94C54"/>
    <w:rsid w:val="00F9556A"/>
    <w:rsid w:val="00F95E8D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15EC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26D909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Heading1">
    <w:name w:val="heading 1"/>
    <w:basedOn w:val="Normal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Normal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Normal"/>
    <w:rsid w:val="009D1D94"/>
    <w:pPr>
      <w:ind w:left="550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B113F3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sid w:val="00B113F3"/>
    <w:rPr>
      <w:sz w:val="20"/>
      <w:szCs w:val="20"/>
      <w:vertAlign w:val="superscript"/>
    </w:rPr>
  </w:style>
  <w:style w:type="paragraph" w:styleId="Signature">
    <w:name w:val="Signature"/>
    <w:basedOn w:val="Normal"/>
    <w:rsid w:val="008B79BB"/>
    <w:pPr>
      <w:ind w:left="5500"/>
    </w:pPr>
  </w:style>
  <w:style w:type="paragraph" w:customStyle="1" w:styleId="0Minute">
    <w:name w:val="0 Minute"/>
    <w:basedOn w:val="Normal"/>
    <w:rsid w:val="008E54AA"/>
    <w:rPr>
      <w:vanish/>
    </w:rPr>
  </w:style>
  <w:style w:type="character" w:styleId="Hyperlink">
    <w:name w:val="Hyperlink"/>
    <w:uiPriority w:val="99"/>
    <w:rsid w:val="009F110E"/>
    <w:rPr>
      <w:rFonts w:ascii="Arial" w:hAnsi="Arial"/>
      <w:color w:val="auto"/>
      <w:u w:val="none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Normal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Normal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">
    <w:name w:val="Основной шрифт абзаца1"/>
    <w:rsid w:val="002652EC"/>
  </w:style>
  <w:style w:type="paragraph" w:customStyle="1" w:styleId="7Titreengras">
    <w:name w:val="7 (Titre en gras)"/>
    <w:basedOn w:val="Normal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Normal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Normal"/>
    <w:link w:val="0TextedebaseChar"/>
    <w:rsid w:val="00E26143"/>
    <w:pPr>
      <w:spacing w:line="240" w:lineRule="atLeast"/>
      <w:jc w:val="both"/>
    </w:pPr>
  </w:style>
  <w:style w:type="paragraph" w:styleId="NormalWeb">
    <w:name w:val="Normal (Web)"/>
    <w:basedOn w:val="Normal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Normal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266929"/>
    <w:rPr>
      <w:rFonts w:ascii="Arial" w:hAnsi="Arial" w:cs="Arial"/>
      <w:noProof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DefaultParagraphFont"/>
    <w:link w:val="0Textedebase"/>
    <w:rsid w:val="00266929"/>
    <w:rPr>
      <w:rFonts w:ascii="Arial" w:hAnsi="Arial"/>
      <w:lang w:val="fr-FR" w:eastAsia="fr-CH"/>
    </w:rPr>
  </w:style>
  <w:style w:type="paragraph" w:styleId="HTMLPreformatted">
    <w:name w:val="HTML Preformatted"/>
    <w:basedOn w:val="Normal"/>
    <w:link w:val="HTMLPreformattedChar"/>
    <w:semiHidden/>
    <w:unhideWhenUsed/>
    <w:rsid w:val="00F162CF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162CF"/>
    <w:rPr>
      <w:rFonts w:ascii="Consolas" w:hAnsi="Consolas"/>
      <w:lang w:val="fr-FR" w:eastAsia="fr-CH"/>
    </w:rPr>
  </w:style>
  <w:style w:type="character" w:customStyle="1" w:styleId="anegp0gi0b9av8jahpyh">
    <w:name w:val="anegp0gi0b9av8jahpyh"/>
    <w:basedOn w:val="DefaultParagraphFont"/>
    <w:rsid w:val="00EC56E3"/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pu.int/en/publications/financial-inclusion/scalingup-postal-inclusive-insur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1D68E-095E-413A-A631-B2AF6DDA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c4347-1e49-4f11-a2de-cdc8b1236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E9339-A618-4EB0-9BC5-42484866E1AA}">
  <ds:schemaRefs>
    <ds:schemaRef ds:uri="http://schemas.microsoft.com/office/2006/metadata/properties"/>
    <ds:schemaRef ds:uri="http://schemas.microsoft.com/office/infopath/2007/PartnerControls"/>
    <ds:schemaRef ds:uri="45bc4347-1e49-4f11-a2de-cdc8b1236453"/>
  </ds:schemaRefs>
</ds:datastoreItem>
</file>

<file path=customXml/itemProps3.xml><?xml version="1.0" encoding="utf-8"?>
<ds:datastoreItem xmlns:ds="http://schemas.openxmlformats.org/officeDocument/2006/customXml" ds:itemID="{3490B085-DD5E-46BF-B90B-46B6B366B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6</Pages>
  <Words>1400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12049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YARTSEVA veronika</cp:lastModifiedBy>
  <cp:revision>61</cp:revision>
  <cp:lastPrinted>2012-02-29T07:49:00Z</cp:lastPrinted>
  <dcterms:created xsi:type="dcterms:W3CDTF">2024-03-11T10:41:00Z</dcterms:created>
  <dcterms:modified xsi:type="dcterms:W3CDTF">2025-07-09T14:02:00Z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