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89B9" w14:textId="77777777" w:rsidR="0052621E" w:rsidRPr="00BA3A0C" w:rsidRDefault="0052621E" w:rsidP="006B2370">
      <w:pPr>
        <w:spacing w:line="240" w:lineRule="exact"/>
        <w:rPr>
          <w:b/>
          <w:lang w:val="es-ES_tradnl"/>
        </w:rPr>
      </w:pPr>
    </w:p>
    <w:p w14:paraId="5D867810" w14:textId="77777777" w:rsidR="0052621E" w:rsidRPr="00BA3A0C" w:rsidRDefault="0052621E" w:rsidP="0052621E">
      <w:pPr>
        <w:spacing w:line="240" w:lineRule="atLeast"/>
        <w:ind w:left="1418" w:hanging="1418"/>
        <w:rPr>
          <w:rFonts w:cs="Arial"/>
          <w:sz w:val="24"/>
          <w:szCs w:val="24"/>
          <w:lang w:val="es-ES_tradnl" w:eastAsia="zh-CN"/>
        </w:rPr>
      </w:pPr>
    </w:p>
    <w:p w14:paraId="0AB8F8B3" w14:textId="77777777" w:rsidR="0052621E" w:rsidRPr="00BA3A0C" w:rsidRDefault="0052621E" w:rsidP="0052621E">
      <w:pPr>
        <w:spacing w:line="240" w:lineRule="atLeast"/>
        <w:ind w:left="1418" w:hanging="1418"/>
        <w:rPr>
          <w:rFonts w:cs="Arial"/>
          <w:sz w:val="24"/>
          <w:szCs w:val="24"/>
          <w:lang w:val="es-ES_tradnl" w:eastAsia="zh-CN"/>
        </w:rPr>
      </w:pPr>
    </w:p>
    <w:p w14:paraId="75299A4E" w14:textId="77777777" w:rsidR="0052621E" w:rsidRPr="00BA3A0C" w:rsidRDefault="0052621E" w:rsidP="0052621E">
      <w:pPr>
        <w:spacing w:line="240" w:lineRule="atLeast"/>
        <w:ind w:left="1418" w:hanging="1418"/>
        <w:rPr>
          <w:rFonts w:cs="Arial"/>
          <w:sz w:val="24"/>
          <w:szCs w:val="24"/>
          <w:lang w:val="es-ES_tradnl" w:eastAsia="zh-CN"/>
        </w:rPr>
      </w:pPr>
    </w:p>
    <w:p w14:paraId="581193C7" w14:textId="77777777" w:rsidR="0052621E" w:rsidRPr="00BA3A0C" w:rsidRDefault="0052621E" w:rsidP="0052621E">
      <w:pPr>
        <w:spacing w:line="240" w:lineRule="atLeast"/>
        <w:ind w:left="1418" w:hanging="1418"/>
        <w:rPr>
          <w:rFonts w:cs="Arial"/>
          <w:sz w:val="24"/>
          <w:szCs w:val="24"/>
          <w:lang w:val="es-ES_tradnl" w:eastAsia="zh-CN"/>
        </w:rPr>
      </w:pPr>
    </w:p>
    <w:p w14:paraId="355F136F" w14:textId="77777777" w:rsidR="0052621E" w:rsidRPr="00BA3A0C" w:rsidRDefault="0052621E" w:rsidP="0052621E">
      <w:pPr>
        <w:spacing w:line="240" w:lineRule="atLeast"/>
        <w:ind w:left="1418" w:hanging="1418"/>
        <w:rPr>
          <w:rFonts w:cs="Arial"/>
          <w:sz w:val="24"/>
          <w:szCs w:val="24"/>
          <w:lang w:val="es-ES_tradnl" w:eastAsia="zh-CN"/>
        </w:rPr>
      </w:pPr>
    </w:p>
    <w:p w14:paraId="1B795082" w14:textId="77777777" w:rsidR="0052621E" w:rsidRPr="00BA3A0C" w:rsidRDefault="0052621E" w:rsidP="0052621E">
      <w:pPr>
        <w:spacing w:line="240" w:lineRule="atLeast"/>
        <w:ind w:left="1418" w:hanging="1418"/>
        <w:rPr>
          <w:rFonts w:cs="Arial"/>
          <w:sz w:val="24"/>
          <w:szCs w:val="24"/>
          <w:lang w:val="es-ES_tradnl" w:eastAsia="zh-CN"/>
        </w:rPr>
      </w:pPr>
    </w:p>
    <w:p w14:paraId="18125422" w14:textId="77777777" w:rsidR="0052621E" w:rsidRPr="00BA3A0C" w:rsidRDefault="0052621E" w:rsidP="0052621E">
      <w:pPr>
        <w:spacing w:line="240" w:lineRule="atLeast"/>
        <w:ind w:left="1418" w:hanging="1418"/>
        <w:rPr>
          <w:rFonts w:cs="Arial"/>
          <w:sz w:val="24"/>
          <w:szCs w:val="24"/>
          <w:lang w:val="es-ES_tradnl" w:eastAsia="zh-CN"/>
        </w:rPr>
      </w:pPr>
    </w:p>
    <w:p w14:paraId="12326C14" w14:textId="77777777" w:rsidR="0052621E" w:rsidRPr="00BA3A0C" w:rsidRDefault="0052621E" w:rsidP="0052621E">
      <w:pPr>
        <w:spacing w:line="240" w:lineRule="atLeast"/>
        <w:ind w:left="1418" w:hanging="1418"/>
        <w:rPr>
          <w:rFonts w:cs="Arial"/>
          <w:sz w:val="24"/>
          <w:szCs w:val="24"/>
          <w:lang w:val="es-ES_tradnl" w:eastAsia="zh-CN"/>
        </w:rPr>
      </w:pPr>
    </w:p>
    <w:p w14:paraId="3368F8EF" w14:textId="77777777" w:rsidR="0052621E" w:rsidRPr="00BA3A0C" w:rsidRDefault="0052621E" w:rsidP="0052621E">
      <w:pPr>
        <w:spacing w:after="180" w:line="240" w:lineRule="atLeast"/>
        <w:ind w:left="1418" w:hanging="1418"/>
        <w:rPr>
          <w:rFonts w:cs="Arial"/>
          <w:sz w:val="24"/>
          <w:szCs w:val="24"/>
          <w:lang w:val="es-ES_tradnl" w:eastAsia="zh-CN"/>
        </w:rPr>
      </w:pPr>
    </w:p>
    <w:p w14:paraId="5D22AF1B" w14:textId="77777777" w:rsidR="0052621E" w:rsidRPr="00BA3A0C" w:rsidRDefault="0052621E" w:rsidP="0052621E">
      <w:pPr>
        <w:spacing w:line="240" w:lineRule="atLeast"/>
        <w:jc w:val="left"/>
        <w:rPr>
          <w:rFonts w:cs="Arial"/>
          <w:b/>
          <w:sz w:val="56"/>
          <w:szCs w:val="56"/>
          <w:lang w:val="es-ES_tradnl"/>
        </w:rPr>
      </w:pPr>
      <w:r w:rsidRPr="00BA3A0C">
        <w:rPr>
          <w:b/>
          <w:sz w:val="56"/>
          <w:lang w:val="es-ES_tradnl"/>
        </w:rPr>
        <w:t>Convocatoria de proyectos 2025</w:t>
      </w:r>
    </w:p>
    <w:p w14:paraId="16A48730" w14:textId="77777777" w:rsidR="0052621E" w:rsidRPr="00BA3A0C" w:rsidRDefault="0052621E" w:rsidP="0052621E">
      <w:pPr>
        <w:spacing w:line="240" w:lineRule="atLeast"/>
        <w:rPr>
          <w:rFonts w:cs="Arial"/>
          <w:sz w:val="24"/>
          <w:szCs w:val="24"/>
          <w:lang w:val="es-ES_tradnl" w:eastAsia="zh-CN"/>
        </w:rPr>
      </w:pPr>
    </w:p>
    <w:p w14:paraId="40E2F0E3" w14:textId="77777777" w:rsidR="0052621E" w:rsidRPr="00BA3A0C" w:rsidRDefault="0052621E" w:rsidP="0052621E">
      <w:pPr>
        <w:spacing w:line="240" w:lineRule="atLeast"/>
        <w:rPr>
          <w:rFonts w:cs="Arial"/>
          <w:sz w:val="24"/>
          <w:szCs w:val="24"/>
          <w:lang w:val="es-ES_tradnl" w:eastAsia="zh-CN"/>
        </w:rPr>
      </w:pPr>
    </w:p>
    <w:p w14:paraId="5D4013FF" w14:textId="410FCE58" w:rsidR="0052621E" w:rsidRPr="00BA3A0C" w:rsidRDefault="0052621E" w:rsidP="00A32365">
      <w:pPr>
        <w:spacing w:line="240" w:lineRule="atLeast"/>
        <w:ind w:right="-1"/>
        <w:jc w:val="left"/>
        <w:rPr>
          <w:rFonts w:cs="Arial"/>
          <w:bCs/>
          <w:sz w:val="32"/>
          <w:szCs w:val="32"/>
          <w:lang w:val="es-ES_tradnl"/>
        </w:rPr>
      </w:pPr>
      <w:r w:rsidRPr="00BA3A0C">
        <w:rPr>
          <w:bCs/>
          <w:sz w:val="32"/>
          <w:lang w:val="es-ES_tradnl"/>
        </w:rPr>
        <w:t>Mecanismo de asistencia técnica para el seguro postal de la UPU</w:t>
      </w:r>
      <w:r w:rsidR="001F3CE4" w:rsidRPr="00BA3A0C">
        <w:rPr>
          <w:bCs/>
          <w:sz w:val="32"/>
          <w:lang w:val="es-ES_tradnl"/>
        </w:rPr>
        <w:t xml:space="preserve"> (PITAF)</w:t>
      </w:r>
    </w:p>
    <w:p w14:paraId="7E4C0E2D" w14:textId="77777777" w:rsidR="0052621E" w:rsidRPr="00BA3A0C" w:rsidRDefault="0052621E" w:rsidP="00A32365">
      <w:pPr>
        <w:tabs>
          <w:tab w:val="left" w:pos="6000"/>
        </w:tabs>
        <w:spacing w:before="120" w:line="240" w:lineRule="atLeast"/>
        <w:ind w:right="-1"/>
        <w:jc w:val="left"/>
        <w:rPr>
          <w:rFonts w:cs="Arial"/>
          <w:bCs/>
          <w:sz w:val="32"/>
          <w:szCs w:val="32"/>
          <w:lang w:val="es-ES_tradnl"/>
        </w:rPr>
      </w:pPr>
    </w:p>
    <w:p w14:paraId="46C8CDCE" w14:textId="77777777" w:rsidR="0052621E" w:rsidRPr="00BA3A0C" w:rsidRDefault="0052621E" w:rsidP="00A32365">
      <w:pPr>
        <w:tabs>
          <w:tab w:val="left" w:pos="6000"/>
        </w:tabs>
        <w:spacing w:before="120" w:line="240" w:lineRule="atLeast"/>
        <w:ind w:right="-1"/>
        <w:jc w:val="left"/>
        <w:rPr>
          <w:rFonts w:cs="Arial"/>
          <w:bCs/>
          <w:sz w:val="32"/>
          <w:szCs w:val="32"/>
          <w:lang w:val="es-ES_tradnl"/>
        </w:rPr>
      </w:pPr>
      <w:r w:rsidRPr="00BA3A0C">
        <w:rPr>
          <w:bCs/>
          <w:sz w:val="32"/>
          <w:lang w:val="es-ES_tradnl"/>
        </w:rPr>
        <w:t xml:space="preserve">Proponer soluciones y capacidades en materia de seguro postal inclusivo para promover la inclusión financiera </w:t>
      </w:r>
    </w:p>
    <w:p w14:paraId="5B6987CF" w14:textId="77777777" w:rsidR="00A34208" w:rsidRPr="00BA3A0C" w:rsidRDefault="00A34208" w:rsidP="00A34208">
      <w:pPr>
        <w:tabs>
          <w:tab w:val="left" w:pos="6825"/>
        </w:tabs>
        <w:spacing w:before="60" w:after="60" w:line="360" w:lineRule="atLeast"/>
        <w:ind w:right="-266"/>
        <w:rPr>
          <w:rFonts w:cs="Arial"/>
          <w:sz w:val="32"/>
          <w:szCs w:val="32"/>
          <w:lang w:val="es-ES_tradnl"/>
        </w:rPr>
      </w:pPr>
    </w:p>
    <w:p w14:paraId="7A8C0310" w14:textId="77777777" w:rsidR="00A34208" w:rsidRPr="00BA3A0C" w:rsidRDefault="00A34208" w:rsidP="00A34208">
      <w:pPr>
        <w:spacing w:before="60" w:after="60" w:line="360" w:lineRule="atLeast"/>
        <w:ind w:right="-266"/>
        <w:rPr>
          <w:rFonts w:cs="Arial"/>
          <w:sz w:val="32"/>
          <w:szCs w:val="32"/>
          <w:lang w:val="es-ES_tradnl"/>
        </w:rPr>
      </w:pPr>
    </w:p>
    <w:p w14:paraId="685E681C" w14:textId="77777777" w:rsidR="00A34208" w:rsidRPr="00BA3A0C" w:rsidRDefault="00A34208" w:rsidP="00A34208">
      <w:pPr>
        <w:spacing w:before="60" w:after="60" w:line="360" w:lineRule="atLeast"/>
        <w:ind w:right="-266"/>
        <w:rPr>
          <w:rFonts w:cs="Arial"/>
          <w:sz w:val="32"/>
          <w:szCs w:val="32"/>
          <w:lang w:val="es-ES_tradnl"/>
        </w:rPr>
      </w:pPr>
    </w:p>
    <w:p w14:paraId="08CCD836" w14:textId="77777777" w:rsidR="00A34208" w:rsidRPr="00BA3A0C" w:rsidRDefault="00A34208" w:rsidP="00A34208">
      <w:pPr>
        <w:spacing w:before="60" w:after="60" w:line="360" w:lineRule="atLeast"/>
        <w:ind w:right="-266"/>
        <w:rPr>
          <w:rFonts w:cs="Arial"/>
          <w:sz w:val="32"/>
          <w:szCs w:val="32"/>
          <w:lang w:val="es-ES_tradnl"/>
        </w:rPr>
      </w:pPr>
    </w:p>
    <w:p w14:paraId="358F4185" w14:textId="77777777" w:rsidR="00A34208" w:rsidRPr="00BA3A0C" w:rsidRDefault="00A34208" w:rsidP="00A34208">
      <w:pPr>
        <w:pStyle w:val="Textedebase"/>
        <w:spacing w:line="280" w:lineRule="atLeast"/>
        <w:rPr>
          <w:rFonts w:cs="Arial"/>
          <w:sz w:val="24"/>
          <w:szCs w:val="24"/>
          <w:lang w:val="es-ES_tradnl" w:eastAsia="zh-CN"/>
        </w:rPr>
      </w:pPr>
    </w:p>
    <w:p w14:paraId="53D1641B" w14:textId="77777777" w:rsidR="00A34208" w:rsidRPr="00BA3A0C" w:rsidRDefault="00A34208" w:rsidP="00A34208">
      <w:pPr>
        <w:pStyle w:val="Textedebase"/>
        <w:spacing w:line="280" w:lineRule="atLeast"/>
        <w:rPr>
          <w:rFonts w:cs="Arial"/>
          <w:sz w:val="24"/>
          <w:szCs w:val="24"/>
          <w:lang w:val="es-ES_tradnl" w:eastAsia="zh-CN"/>
        </w:rPr>
      </w:pPr>
    </w:p>
    <w:p w14:paraId="22FA4304" w14:textId="77777777" w:rsidR="00A34208" w:rsidRPr="00BA3A0C" w:rsidRDefault="00A34208" w:rsidP="00A34208">
      <w:pPr>
        <w:pStyle w:val="Textedebase"/>
        <w:spacing w:line="280" w:lineRule="atLeast"/>
        <w:rPr>
          <w:rFonts w:cs="Arial"/>
          <w:sz w:val="24"/>
          <w:szCs w:val="24"/>
          <w:lang w:val="es-ES_tradnl" w:eastAsia="zh-CN"/>
        </w:rPr>
      </w:pPr>
    </w:p>
    <w:p w14:paraId="75E9B6CF" w14:textId="77777777" w:rsidR="00A34208" w:rsidRPr="00BA3A0C" w:rsidRDefault="00A34208" w:rsidP="00A34208">
      <w:pPr>
        <w:pStyle w:val="Textedebase"/>
        <w:spacing w:line="280" w:lineRule="atLeast"/>
        <w:rPr>
          <w:rFonts w:cs="Arial"/>
          <w:sz w:val="24"/>
          <w:szCs w:val="24"/>
          <w:lang w:val="es-ES_tradnl" w:eastAsia="zh-CN"/>
        </w:rPr>
      </w:pPr>
    </w:p>
    <w:p w14:paraId="2217128B" w14:textId="77777777" w:rsidR="00A34208" w:rsidRPr="00BA3A0C" w:rsidRDefault="00A34208" w:rsidP="00A34208">
      <w:pPr>
        <w:pStyle w:val="Textedebase"/>
        <w:spacing w:line="280" w:lineRule="atLeast"/>
        <w:rPr>
          <w:rFonts w:cs="Arial"/>
          <w:sz w:val="24"/>
          <w:szCs w:val="24"/>
          <w:lang w:val="es-ES_tradnl" w:eastAsia="zh-CN"/>
        </w:rPr>
      </w:pPr>
    </w:p>
    <w:p w14:paraId="6A2F3556" w14:textId="77777777" w:rsidR="00A34208" w:rsidRPr="00BA3A0C" w:rsidRDefault="00A34208" w:rsidP="00A34208">
      <w:pPr>
        <w:pStyle w:val="Textedebase"/>
        <w:spacing w:line="280" w:lineRule="atLeast"/>
        <w:rPr>
          <w:rFonts w:cs="Arial"/>
          <w:sz w:val="24"/>
          <w:szCs w:val="24"/>
          <w:lang w:val="es-ES_tradnl" w:eastAsia="zh-CN"/>
        </w:rPr>
      </w:pPr>
    </w:p>
    <w:p w14:paraId="301E1217" w14:textId="77777777" w:rsidR="00A34208" w:rsidRPr="00BA3A0C" w:rsidRDefault="00A34208" w:rsidP="00A34208">
      <w:pPr>
        <w:pStyle w:val="Textedebase"/>
        <w:spacing w:line="280" w:lineRule="atLeast"/>
        <w:rPr>
          <w:rFonts w:cs="Arial"/>
          <w:sz w:val="24"/>
          <w:szCs w:val="24"/>
          <w:lang w:val="es-ES_tradnl" w:eastAsia="zh-CN"/>
        </w:rPr>
      </w:pPr>
    </w:p>
    <w:p w14:paraId="0CA8BAC6" w14:textId="77777777" w:rsidR="00A34208" w:rsidRPr="00BA3A0C" w:rsidRDefault="00A34208" w:rsidP="00A34208">
      <w:pPr>
        <w:pStyle w:val="Textedebase"/>
        <w:spacing w:line="280" w:lineRule="atLeast"/>
        <w:rPr>
          <w:rFonts w:cs="Arial"/>
          <w:sz w:val="24"/>
          <w:szCs w:val="24"/>
          <w:lang w:val="es-ES_tradnl" w:eastAsia="zh-CN"/>
        </w:rPr>
      </w:pPr>
    </w:p>
    <w:p w14:paraId="4011FD2B" w14:textId="77777777" w:rsidR="00A34208" w:rsidRPr="00BA3A0C" w:rsidRDefault="00A34208" w:rsidP="00A34208">
      <w:pPr>
        <w:pStyle w:val="Textedebase"/>
        <w:spacing w:line="280" w:lineRule="atLeast"/>
        <w:rPr>
          <w:rFonts w:cs="Arial"/>
          <w:sz w:val="24"/>
          <w:szCs w:val="24"/>
          <w:lang w:val="es-ES_tradnl" w:eastAsia="zh-CN"/>
        </w:rPr>
      </w:pPr>
    </w:p>
    <w:p w14:paraId="0D2A4027" w14:textId="06B45C0D" w:rsidR="00A34208" w:rsidRPr="00BA3A0C" w:rsidRDefault="00A34208" w:rsidP="00A34208">
      <w:pPr>
        <w:pStyle w:val="Textedebase"/>
        <w:spacing w:line="280" w:lineRule="atLeast"/>
        <w:rPr>
          <w:rFonts w:cs="Arial"/>
          <w:sz w:val="24"/>
          <w:szCs w:val="24"/>
          <w:lang w:val="es-ES_tradnl" w:eastAsia="zh-CN"/>
        </w:rPr>
      </w:pPr>
      <w:r w:rsidRPr="00BA3A0C">
        <w:rPr>
          <w:rFonts w:cs="Arial"/>
          <w:sz w:val="32"/>
          <w:szCs w:val="32"/>
          <w:lang w:val="es-ES_tradnl"/>
        </w:rPr>
        <w:t>Programa PITAF</w:t>
      </w:r>
    </w:p>
    <w:p w14:paraId="0D40B8FC" w14:textId="77777777" w:rsidR="0052621E" w:rsidRPr="00BA3A0C" w:rsidRDefault="0052621E" w:rsidP="0052621E">
      <w:pPr>
        <w:spacing w:line="240" w:lineRule="atLeast"/>
        <w:ind w:left="1418" w:hanging="1418"/>
        <w:rPr>
          <w:rFonts w:cs="Arial"/>
          <w:sz w:val="24"/>
          <w:szCs w:val="24"/>
          <w:lang w:val="es-ES_tradnl" w:eastAsia="zh-CN"/>
        </w:rPr>
      </w:pPr>
    </w:p>
    <w:p w14:paraId="07055BC4" w14:textId="77777777" w:rsidR="0052621E" w:rsidRPr="00BA3A0C" w:rsidRDefault="0052621E" w:rsidP="0052621E">
      <w:pPr>
        <w:spacing w:line="240" w:lineRule="atLeast"/>
        <w:jc w:val="left"/>
        <w:rPr>
          <w:lang w:val="es-ES_tradnl"/>
        </w:rPr>
        <w:sectPr w:rsidR="0052621E" w:rsidRPr="00BA3A0C" w:rsidSect="0052621E">
          <w:headerReference w:type="even" r:id="rId11"/>
          <w:headerReference w:type="first" r:id="rId12"/>
          <w:footerReference w:type="first" r:id="rId13"/>
          <w:footnotePr>
            <w:numRestart w:val="eachPage"/>
          </w:footnotePr>
          <w:endnotePr>
            <w:numFmt w:val="decimal"/>
          </w:endnotePr>
          <w:pgSz w:w="11907" w:h="16840" w:code="9"/>
          <w:pgMar w:top="1134" w:right="851" w:bottom="1134" w:left="1418" w:header="709" w:footer="868" w:gutter="0"/>
          <w:cols w:space="0"/>
          <w:titlePg/>
          <w:docGrid w:linePitch="272"/>
        </w:sectPr>
      </w:pPr>
    </w:p>
    <w:p w14:paraId="739E14DD" w14:textId="77777777" w:rsidR="0052621E" w:rsidRPr="00BA3A0C" w:rsidRDefault="0052621E" w:rsidP="0052621E">
      <w:pPr>
        <w:tabs>
          <w:tab w:val="right" w:pos="9631"/>
        </w:tabs>
        <w:spacing w:line="240" w:lineRule="atLeast"/>
        <w:jc w:val="left"/>
        <w:rPr>
          <w:rFonts w:cs="Arial"/>
          <w:lang w:val="es-ES_tradnl"/>
        </w:rPr>
      </w:pPr>
      <w:r w:rsidRPr="00BA3A0C">
        <w:rPr>
          <w:b/>
          <w:lang w:val="es-ES_tradnl"/>
        </w:rPr>
        <w:lastRenderedPageBreak/>
        <w:t>Índice</w:t>
      </w:r>
      <w:r w:rsidRPr="00BA3A0C">
        <w:rPr>
          <w:b/>
          <w:lang w:val="es-ES_tradnl"/>
        </w:rPr>
        <w:tab/>
      </w:r>
      <w:r w:rsidRPr="00BA3A0C">
        <w:rPr>
          <w:lang w:val="es-ES_tradnl"/>
        </w:rPr>
        <w:t>Página</w:t>
      </w:r>
    </w:p>
    <w:p w14:paraId="12935800" w14:textId="77777777" w:rsidR="0052621E" w:rsidRPr="00BA3A0C" w:rsidRDefault="0052621E" w:rsidP="0052621E">
      <w:pPr>
        <w:spacing w:line="240" w:lineRule="exact"/>
        <w:jc w:val="left"/>
        <w:rPr>
          <w:lang w:val="es-ES_tradnl"/>
        </w:rPr>
      </w:pPr>
    </w:p>
    <w:p w14:paraId="39A3B943"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1.</w:t>
      </w:r>
      <w:r w:rsidRPr="00BA3A0C">
        <w:rPr>
          <w:lang w:val="es-ES_tradnl"/>
        </w:rPr>
        <w:tab/>
        <w:t>Contexto</w:t>
      </w:r>
      <w:r w:rsidRPr="00BA3A0C">
        <w:rPr>
          <w:lang w:val="es-ES_tradnl"/>
        </w:rPr>
        <w:tab/>
        <w:t>3</w:t>
      </w:r>
    </w:p>
    <w:p w14:paraId="59072132" w14:textId="77777777" w:rsidR="0052621E" w:rsidRPr="00BA3A0C" w:rsidRDefault="0052621E" w:rsidP="0052621E">
      <w:pPr>
        <w:tabs>
          <w:tab w:val="left" w:pos="567"/>
          <w:tab w:val="right" w:pos="9639"/>
        </w:tabs>
        <w:spacing w:line="240" w:lineRule="exact"/>
        <w:jc w:val="left"/>
        <w:rPr>
          <w:lang w:val="es-ES_tradnl"/>
        </w:rPr>
      </w:pPr>
    </w:p>
    <w:p w14:paraId="01915D8D"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2.</w:t>
      </w:r>
      <w:r w:rsidRPr="00BA3A0C">
        <w:rPr>
          <w:lang w:val="es-ES_tradnl"/>
        </w:rPr>
        <w:tab/>
        <w:t>Objetivos y alcance de los proyectos considerados</w:t>
      </w:r>
      <w:r w:rsidRPr="00BA3A0C">
        <w:rPr>
          <w:lang w:val="es-ES_tradnl"/>
        </w:rPr>
        <w:tab/>
        <w:t>3</w:t>
      </w:r>
    </w:p>
    <w:p w14:paraId="40BE8A4B" w14:textId="77777777" w:rsidR="0052621E" w:rsidRPr="00BA3A0C" w:rsidRDefault="0052621E" w:rsidP="0052621E">
      <w:pPr>
        <w:tabs>
          <w:tab w:val="left" w:pos="567"/>
          <w:tab w:val="right" w:pos="9639"/>
        </w:tabs>
        <w:spacing w:line="240" w:lineRule="exact"/>
        <w:jc w:val="left"/>
        <w:rPr>
          <w:lang w:val="es-ES_tradnl"/>
        </w:rPr>
      </w:pPr>
    </w:p>
    <w:p w14:paraId="68CC2F32"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3.</w:t>
      </w:r>
      <w:r w:rsidRPr="00BA3A0C">
        <w:rPr>
          <w:lang w:val="es-ES_tradnl"/>
        </w:rPr>
        <w:tab/>
        <w:t>Evaluación y selección de propuestas</w:t>
      </w:r>
      <w:r w:rsidRPr="00BA3A0C">
        <w:rPr>
          <w:lang w:val="es-ES_tradnl"/>
        </w:rPr>
        <w:tab/>
        <w:t>4</w:t>
      </w:r>
    </w:p>
    <w:p w14:paraId="7C3B6F32" w14:textId="77777777" w:rsidR="0052621E" w:rsidRPr="00BA3A0C" w:rsidRDefault="0052621E" w:rsidP="0052621E">
      <w:pPr>
        <w:tabs>
          <w:tab w:val="left" w:pos="567"/>
          <w:tab w:val="right" w:pos="9639"/>
        </w:tabs>
        <w:spacing w:line="240" w:lineRule="exact"/>
        <w:jc w:val="left"/>
        <w:rPr>
          <w:lang w:val="es-ES_tradnl"/>
        </w:rPr>
      </w:pPr>
    </w:p>
    <w:p w14:paraId="0F25CFCC"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4.</w:t>
      </w:r>
      <w:r w:rsidRPr="00BA3A0C">
        <w:rPr>
          <w:lang w:val="es-ES_tradnl"/>
        </w:rPr>
        <w:tab/>
        <w:t>Principios de financiación</w:t>
      </w:r>
      <w:r w:rsidRPr="00BA3A0C">
        <w:rPr>
          <w:lang w:val="es-ES_tradnl"/>
        </w:rPr>
        <w:tab/>
        <w:t>5</w:t>
      </w:r>
    </w:p>
    <w:p w14:paraId="38A177B0" w14:textId="77777777" w:rsidR="0052621E" w:rsidRPr="00BA3A0C" w:rsidRDefault="0052621E" w:rsidP="0052621E">
      <w:pPr>
        <w:tabs>
          <w:tab w:val="left" w:pos="567"/>
          <w:tab w:val="right" w:pos="9639"/>
        </w:tabs>
        <w:spacing w:line="240" w:lineRule="exact"/>
        <w:jc w:val="left"/>
        <w:rPr>
          <w:lang w:val="es-ES_tradnl"/>
        </w:rPr>
      </w:pPr>
    </w:p>
    <w:p w14:paraId="257965B8" w14:textId="4E928BB4" w:rsidR="0052621E" w:rsidRPr="00BA3A0C" w:rsidRDefault="0052621E" w:rsidP="0052621E">
      <w:pPr>
        <w:tabs>
          <w:tab w:val="left" w:pos="567"/>
          <w:tab w:val="right" w:pos="9639"/>
        </w:tabs>
        <w:spacing w:line="240" w:lineRule="exact"/>
        <w:jc w:val="left"/>
        <w:rPr>
          <w:lang w:val="es-ES_tradnl"/>
        </w:rPr>
      </w:pPr>
      <w:r w:rsidRPr="00BA3A0C">
        <w:rPr>
          <w:lang w:val="es-ES_tradnl"/>
        </w:rPr>
        <w:t>5.</w:t>
      </w:r>
      <w:r w:rsidRPr="00BA3A0C">
        <w:rPr>
          <w:lang w:val="es-ES_tradnl"/>
        </w:rPr>
        <w:tab/>
        <w:t>Procedimiento de solicitud</w:t>
      </w:r>
      <w:r w:rsidRPr="00BA3A0C">
        <w:rPr>
          <w:lang w:val="es-ES_tradnl"/>
        </w:rPr>
        <w:tab/>
      </w:r>
      <w:r w:rsidR="001F3CE4" w:rsidRPr="00BA3A0C">
        <w:rPr>
          <w:lang w:val="es-ES_tradnl"/>
        </w:rPr>
        <w:t>6</w:t>
      </w:r>
    </w:p>
    <w:p w14:paraId="3D4001F6" w14:textId="77777777" w:rsidR="0052621E" w:rsidRPr="00BA3A0C" w:rsidRDefault="0052621E" w:rsidP="0052621E">
      <w:pPr>
        <w:spacing w:line="240" w:lineRule="exact"/>
        <w:jc w:val="left"/>
        <w:rPr>
          <w:lang w:val="es-ES_tradnl"/>
        </w:rPr>
      </w:pPr>
    </w:p>
    <w:p w14:paraId="5B980418" w14:textId="77777777" w:rsidR="0052621E" w:rsidRPr="00BA3A0C" w:rsidRDefault="0052621E" w:rsidP="0052621E">
      <w:pPr>
        <w:spacing w:line="240" w:lineRule="atLeast"/>
        <w:jc w:val="left"/>
        <w:rPr>
          <w:lang w:val="es-ES_tradnl"/>
        </w:rPr>
      </w:pPr>
    </w:p>
    <w:p w14:paraId="71E202BA" w14:textId="77777777" w:rsidR="0052621E" w:rsidRPr="00BA3A0C" w:rsidRDefault="0052621E" w:rsidP="0052621E">
      <w:pPr>
        <w:tabs>
          <w:tab w:val="right" w:pos="9631"/>
        </w:tabs>
        <w:spacing w:line="240" w:lineRule="atLeast"/>
        <w:jc w:val="left"/>
        <w:rPr>
          <w:rFonts w:cs="Arial"/>
          <w:lang w:val="es-ES_tradnl"/>
        </w:rPr>
      </w:pPr>
      <w:r w:rsidRPr="00BA3A0C">
        <w:rPr>
          <w:b/>
          <w:lang w:val="es-ES_tradnl"/>
        </w:rPr>
        <w:t>Anexos</w:t>
      </w:r>
    </w:p>
    <w:p w14:paraId="068F9D00" w14:textId="77777777" w:rsidR="0052621E" w:rsidRPr="00BA3A0C" w:rsidRDefault="0052621E" w:rsidP="0052621E">
      <w:pPr>
        <w:spacing w:line="240" w:lineRule="atLeast"/>
        <w:jc w:val="left"/>
        <w:rPr>
          <w:lang w:val="es-ES_tradnl"/>
        </w:rPr>
      </w:pPr>
    </w:p>
    <w:p w14:paraId="4E86AD31"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Anexo 1 – Formulario de propuesta de proyecto</w:t>
      </w:r>
    </w:p>
    <w:p w14:paraId="1FAF0060" w14:textId="77777777" w:rsidR="0052621E" w:rsidRPr="00BA3A0C" w:rsidRDefault="0052621E" w:rsidP="0052621E">
      <w:pPr>
        <w:tabs>
          <w:tab w:val="left" w:pos="567"/>
          <w:tab w:val="right" w:pos="9639"/>
        </w:tabs>
        <w:spacing w:line="240" w:lineRule="exact"/>
        <w:jc w:val="left"/>
        <w:rPr>
          <w:lang w:val="es-ES_tradnl"/>
        </w:rPr>
      </w:pPr>
    </w:p>
    <w:p w14:paraId="17AE38F8" w14:textId="77777777" w:rsidR="0052621E" w:rsidRPr="00BA3A0C" w:rsidRDefault="0052621E" w:rsidP="0052621E">
      <w:pPr>
        <w:tabs>
          <w:tab w:val="left" w:pos="567"/>
          <w:tab w:val="right" w:pos="9639"/>
        </w:tabs>
        <w:spacing w:line="240" w:lineRule="exact"/>
        <w:jc w:val="left"/>
        <w:rPr>
          <w:lang w:val="es-ES_tradnl"/>
        </w:rPr>
      </w:pPr>
      <w:r w:rsidRPr="00BA3A0C">
        <w:rPr>
          <w:lang w:val="es-ES_tradnl"/>
        </w:rPr>
        <w:t>Anexo 2 – Formulario de presupuesto del proyecto</w:t>
      </w:r>
    </w:p>
    <w:p w14:paraId="11CC509F" w14:textId="77777777" w:rsidR="0052621E" w:rsidRPr="00BA3A0C" w:rsidRDefault="0052621E" w:rsidP="0052621E">
      <w:pPr>
        <w:jc w:val="left"/>
        <w:rPr>
          <w:lang w:val="es-ES_tradnl"/>
        </w:rPr>
      </w:pPr>
      <w:r w:rsidRPr="00BA3A0C">
        <w:rPr>
          <w:lang w:val="es-ES_tradnl"/>
        </w:rPr>
        <w:br w:type="page"/>
      </w:r>
    </w:p>
    <w:p w14:paraId="663DA506" w14:textId="77777777" w:rsidR="0052621E" w:rsidRPr="00BA3A0C" w:rsidRDefault="0052621E" w:rsidP="0055577B">
      <w:pPr>
        <w:spacing w:line="230" w:lineRule="exact"/>
        <w:jc w:val="left"/>
        <w:rPr>
          <w:b/>
          <w:bCs/>
          <w:lang w:val="es-ES_tradnl"/>
        </w:rPr>
      </w:pPr>
      <w:r w:rsidRPr="00BA3A0C">
        <w:rPr>
          <w:b/>
          <w:lang w:val="es-ES_tradnl"/>
        </w:rPr>
        <w:lastRenderedPageBreak/>
        <w:t>1.</w:t>
      </w:r>
      <w:r w:rsidRPr="00BA3A0C">
        <w:rPr>
          <w:b/>
          <w:lang w:val="es-ES_tradnl"/>
        </w:rPr>
        <w:tab/>
        <w:t>Contexto</w:t>
      </w:r>
    </w:p>
    <w:p w14:paraId="65F0B909" w14:textId="77777777" w:rsidR="0052621E" w:rsidRPr="00BA3A0C" w:rsidRDefault="0052621E" w:rsidP="0055577B">
      <w:pPr>
        <w:spacing w:line="230" w:lineRule="exact"/>
        <w:rPr>
          <w:lang w:val="es-ES_tradnl"/>
        </w:rPr>
      </w:pPr>
    </w:p>
    <w:p w14:paraId="5EF770A6" w14:textId="35667582" w:rsidR="0052621E" w:rsidRPr="00BA3A0C" w:rsidRDefault="001F3CE4" w:rsidP="0055577B">
      <w:pPr>
        <w:spacing w:line="230" w:lineRule="exact"/>
        <w:rPr>
          <w:lang w:val="es-ES_tradnl"/>
        </w:rPr>
      </w:pPr>
      <w:r w:rsidRPr="00BA3A0C">
        <w:rPr>
          <w:lang w:val="es-ES_tradnl"/>
        </w:rPr>
        <w:t>L</w:t>
      </w:r>
      <w:r w:rsidR="0052621E" w:rsidRPr="00BA3A0C">
        <w:rPr>
          <w:lang w:val="es-ES_tradnl"/>
        </w:rPr>
        <w:t>os operadores designados han sido tradicionalmente importantes actores de la inclusión financiera, aprovechando su extensa red física, su proximidad con la clientela y su vasta experiencia en la prestación de servicios financieros. Las redes postales abordan cuestiones de accesibilidad, asequibilidad y confianza, y pueden constituir canales particularmente adaptados para brindar acceso a soluciones financieras y de seguro digitales, ya sea</w:t>
      </w:r>
      <w:r w:rsidR="00373415" w:rsidRPr="00BA3A0C">
        <w:rPr>
          <w:lang w:val="es-ES_tradnl"/>
        </w:rPr>
        <w:t xml:space="preserve"> como</w:t>
      </w:r>
      <w:r w:rsidR="0052621E" w:rsidRPr="00BA3A0C">
        <w:rPr>
          <w:lang w:val="es-ES_tradnl"/>
        </w:rPr>
        <w:t xml:space="preserve"> proveedor</w:t>
      </w:r>
      <w:r w:rsidR="00373415" w:rsidRPr="00BA3A0C">
        <w:rPr>
          <w:lang w:val="es-ES_tradnl"/>
        </w:rPr>
        <w:t>a</w:t>
      </w:r>
      <w:r w:rsidR="0052621E" w:rsidRPr="00BA3A0C">
        <w:rPr>
          <w:lang w:val="es-ES_tradnl"/>
        </w:rPr>
        <w:t xml:space="preserve">s independientes o a través de asociaciones. </w:t>
      </w:r>
    </w:p>
    <w:p w14:paraId="55A97D19" w14:textId="77777777" w:rsidR="0052621E" w:rsidRPr="00BA3A0C" w:rsidRDefault="0052621E" w:rsidP="0055577B">
      <w:pPr>
        <w:spacing w:line="230" w:lineRule="exact"/>
        <w:rPr>
          <w:lang w:val="es-ES_tradnl"/>
        </w:rPr>
      </w:pPr>
    </w:p>
    <w:p w14:paraId="62311E64" w14:textId="79649B43" w:rsidR="0052621E" w:rsidRPr="004208EC" w:rsidRDefault="0052621E" w:rsidP="0055577B">
      <w:pPr>
        <w:spacing w:line="230" w:lineRule="exact"/>
        <w:rPr>
          <w:rFonts w:cs="Arial"/>
          <w:b/>
          <w:bCs/>
          <w:lang w:val="es-ES_tradnl"/>
        </w:rPr>
      </w:pPr>
      <w:r w:rsidRPr="00BA3A0C">
        <w:rPr>
          <w:lang w:val="es-ES_tradnl"/>
        </w:rPr>
        <w:t xml:space="preserve">En consonancia con sus cuatro pilares de inclusión financiera –pagos digitales, ahorro digital, seguro inclusivo y microfinanzas– la UPU está promoviendo asociaciones y colaboraciones en materia de seguro digital para apoyar los objetivos nacionales de inclusión financiera de los Países miembros. Recientemente, la UPU y AXA SA (AXA) completaron un estudio de investigación mundial sobre el despliegue y la expansión de </w:t>
      </w:r>
      <w:r w:rsidR="00373415" w:rsidRPr="00BA3A0C">
        <w:rPr>
          <w:lang w:val="es-ES_tradnl"/>
        </w:rPr>
        <w:t xml:space="preserve">las </w:t>
      </w:r>
      <w:r w:rsidRPr="00BA3A0C">
        <w:rPr>
          <w:lang w:val="es-ES_tradnl"/>
        </w:rPr>
        <w:t xml:space="preserve">soluciones de seguro postal inclusivo dentro de la red de la UPU. El estudio de investigación destacó importantes aprendizajes clave, modelos operativos, información sobre los clientes y mejores prácticas que se recopilaron en seis mercados postales mundiales donde existen soluciones de seguro postal inclusivo. </w:t>
      </w:r>
      <w:r w:rsidRPr="004208EC">
        <w:rPr>
          <w:rFonts w:cs="Arial"/>
          <w:lang w:val="es-ES_tradnl"/>
        </w:rPr>
        <w:t>(</w:t>
      </w:r>
      <w:hyperlink r:id="rId14" w:history="1">
        <w:r w:rsidR="004208EC" w:rsidRPr="004208EC">
          <w:rPr>
            <w:rStyle w:val="Hyperlink"/>
            <w:rFonts w:cs="Arial"/>
            <w:b w:val="0"/>
            <w:bCs/>
          </w:rPr>
          <w:t>https://www.upu.int/en/publications/financial-inclusion/scalingup-postal-inclusive-insurance</w:t>
        </w:r>
      </w:hyperlink>
      <w:r w:rsidRPr="004208EC">
        <w:rPr>
          <w:rFonts w:cs="Arial"/>
          <w:lang w:val="es-ES_tradnl"/>
        </w:rPr>
        <w:t>)</w:t>
      </w:r>
    </w:p>
    <w:p w14:paraId="1167DB44" w14:textId="77777777" w:rsidR="0052621E" w:rsidRPr="00BA3A0C" w:rsidRDefault="0052621E" w:rsidP="0055577B">
      <w:pPr>
        <w:spacing w:line="230" w:lineRule="exact"/>
        <w:rPr>
          <w:lang w:val="es-ES_tradnl"/>
        </w:rPr>
      </w:pPr>
    </w:p>
    <w:p w14:paraId="5853799F" w14:textId="6D2CAD33" w:rsidR="0052621E" w:rsidRPr="00BA3A0C" w:rsidRDefault="0052621E" w:rsidP="0055577B">
      <w:pPr>
        <w:spacing w:line="230" w:lineRule="exact"/>
        <w:rPr>
          <w:lang w:val="es-ES_tradnl"/>
        </w:rPr>
      </w:pPr>
      <w:r w:rsidRPr="00BA3A0C">
        <w:rPr>
          <w:lang w:val="es-ES_tradnl"/>
        </w:rPr>
        <w:t xml:space="preserve">Para apoyar </w:t>
      </w:r>
      <w:r w:rsidR="00107E8E" w:rsidRPr="00BA3A0C">
        <w:rPr>
          <w:lang w:val="es-ES_tradnl"/>
        </w:rPr>
        <w:t xml:space="preserve">y poner en práctica </w:t>
      </w:r>
      <w:r w:rsidRPr="00BA3A0C">
        <w:rPr>
          <w:lang w:val="es-ES_tradnl"/>
        </w:rPr>
        <w:t xml:space="preserve">los resultados y las conclusiones de la investigación, la UPU estableció un marco de colaboración con AXA y CNP </w:t>
      </w:r>
      <w:proofErr w:type="spellStart"/>
      <w:r w:rsidRPr="00BA3A0C">
        <w:rPr>
          <w:lang w:val="es-ES_tradnl"/>
        </w:rPr>
        <w:t>Assurances</w:t>
      </w:r>
      <w:proofErr w:type="spellEnd"/>
      <w:r w:rsidRPr="00BA3A0C">
        <w:rPr>
          <w:lang w:val="es-ES_tradnl"/>
        </w:rPr>
        <w:t xml:space="preserve"> (CNP) </w:t>
      </w:r>
      <w:r w:rsidR="00107E8E" w:rsidRPr="00BA3A0C">
        <w:rPr>
          <w:lang w:val="es-ES_tradnl"/>
        </w:rPr>
        <w:t>con el fin de</w:t>
      </w:r>
      <w:r w:rsidRPr="00BA3A0C">
        <w:rPr>
          <w:lang w:val="es-ES_tradnl"/>
        </w:rPr>
        <w:t xml:space="preserve"> crear y lanzar el mecanismo de asistencia técnica para el seguro postal (PITAF, por sus siglas en inglés). El objetivo principal del PITAF es </w:t>
      </w:r>
      <w:r w:rsidR="00107E8E" w:rsidRPr="00BA3A0C">
        <w:rPr>
          <w:lang w:val="es-ES_tradnl"/>
        </w:rPr>
        <w:t>fortalecer</w:t>
      </w:r>
      <w:r w:rsidRPr="00BA3A0C">
        <w:rPr>
          <w:lang w:val="es-ES_tradnl"/>
        </w:rPr>
        <w:t xml:space="preserve"> el papel de los operadores designados en la </w:t>
      </w:r>
      <w:r w:rsidR="00107E8E" w:rsidRPr="00BA3A0C">
        <w:rPr>
          <w:lang w:val="es-ES_tradnl"/>
        </w:rPr>
        <w:t>prestación</w:t>
      </w:r>
      <w:r w:rsidRPr="00BA3A0C">
        <w:rPr>
          <w:lang w:val="es-ES_tradnl"/>
        </w:rPr>
        <w:t xml:space="preserve"> a sus clientes postales de soluciones y capacidades pertinentes en materia de seguro, en estrecha colaboración con los socios del PITAF, como AXA y CNP. Estos actores del sector privado </w:t>
      </w:r>
      <w:r w:rsidR="00CB1652" w:rsidRPr="00BA3A0C">
        <w:rPr>
          <w:lang w:val="es-ES_tradnl"/>
        </w:rPr>
        <w:t>contribuirán</w:t>
      </w:r>
      <w:r w:rsidRPr="00BA3A0C">
        <w:rPr>
          <w:lang w:val="es-ES_tradnl"/>
        </w:rPr>
        <w:t xml:space="preserve"> a </w:t>
      </w:r>
      <w:r w:rsidR="00CB1652" w:rsidRPr="00BA3A0C">
        <w:rPr>
          <w:lang w:val="es-ES_tradnl"/>
        </w:rPr>
        <w:t>aportar</w:t>
      </w:r>
      <w:r w:rsidRPr="00BA3A0C">
        <w:rPr>
          <w:lang w:val="es-ES_tradnl"/>
        </w:rPr>
        <w:t xml:space="preserve"> las últimas innovaciones, conocimientos y modelos </w:t>
      </w:r>
      <w:r w:rsidR="00CB1652" w:rsidRPr="00BA3A0C">
        <w:rPr>
          <w:lang w:val="es-ES_tradnl"/>
        </w:rPr>
        <w:t>en materia de</w:t>
      </w:r>
      <w:r w:rsidRPr="00BA3A0C">
        <w:rPr>
          <w:lang w:val="es-ES_tradnl"/>
        </w:rPr>
        <w:t xml:space="preserve"> opciones de protección relacionadas con el seguro postal </w:t>
      </w:r>
      <w:r w:rsidR="00CB1652" w:rsidRPr="00BA3A0C">
        <w:rPr>
          <w:lang w:val="es-ES_tradnl"/>
        </w:rPr>
        <w:t xml:space="preserve">a efectos </w:t>
      </w:r>
      <w:r w:rsidRPr="00BA3A0C">
        <w:rPr>
          <w:lang w:val="es-ES_tradnl"/>
        </w:rPr>
        <w:t>de la implementación de soluciones de seguro inclusiv</w:t>
      </w:r>
      <w:r w:rsidR="00B56AF2" w:rsidRPr="00BA3A0C">
        <w:rPr>
          <w:lang w:val="es-ES_tradnl"/>
        </w:rPr>
        <w:t>o</w:t>
      </w:r>
      <w:r w:rsidRPr="00BA3A0C">
        <w:rPr>
          <w:lang w:val="es-ES_tradnl"/>
        </w:rPr>
        <w:t xml:space="preserve"> dentro de las redes postales.</w:t>
      </w:r>
    </w:p>
    <w:p w14:paraId="156DB244" w14:textId="77777777" w:rsidR="0052621E" w:rsidRPr="00BA3A0C" w:rsidRDefault="0052621E" w:rsidP="0055577B">
      <w:pPr>
        <w:spacing w:line="230" w:lineRule="exact"/>
        <w:rPr>
          <w:lang w:val="es-ES_tradnl"/>
        </w:rPr>
      </w:pPr>
    </w:p>
    <w:p w14:paraId="2C5C8497" w14:textId="3E807FAF" w:rsidR="0052621E" w:rsidRPr="00BA3A0C" w:rsidRDefault="0052621E" w:rsidP="0055577B">
      <w:pPr>
        <w:spacing w:line="230" w:lineRule="exact"/>
        <w:rPr>
          <w:lang w:val="es-ES_tradnl"/>
        </w:rPr>
      </w:pPr>
      <w:r w:rsidRPr="00BA3A0C">
        <w:rPr>
          <w:lang w:val="es-ES_tradnl"/>
        </w:rPr>
        <w:t>La UPU ofrece a los operadores designados de los Países miembros de la UPU la oportunidad de solicitar una de las subvenciones del programa PITAF. El programa PITAF aportará financiación inicial y apoyo práctico para ayudar a los operadores designados a diseñar, poner a prueba o ampliar productos de seguro pertinentes, ya sea directamente o en asociación con asegurador</w:t>
      </w:r>
      <w:r w:rsidR="00B56AF2" w:rsidRPr="00BA3A0C">
        <w:rPr>
          <w:lang w:val="es-ES_tradnl"/>
        </w:rPr>
        <w:t>e</w:t>
      </w:r>
      <w:r w:rsidRPr="00BA3A0C">
        <w:rPr>
          <w:lang w:val="es-ES_tradnl"/>
        </w:rPr>
        <w:t>s, que se ajusten a los objetivos nacionales</w:t>
      </w:r>
      <w:r w:rsidR="00B56AF2" w:rsidRPr="00BA3A0C">
        <w:rPr>
          <w:lang w:val="es-ES_tradnl"/>
        </w:rPr>
        <w:t xml:space="preserve"> en materia </w:t>
      </w:r>
      <w:r w:rsidRPr="00BA3A0C">
        <w:rPr>
          <w:lang w:val="es-ES_tradnl"/>
        </w:rPr>
        <w:t xml:space="preserve">de inclusión financiera. Para garantizar la implementación eficaz del programa PITAF y lograr </w:t>
      </w:r>
      <w:r w:rsidR="00F20D51" w:rsidRPr="00BA3A0C">
        <w:rPr>
          <w:lang w:val="es-ES_tradnl"/>
        </w:rPr>
        <w:t xml:space="preserve">las repercusiones </w:t>
      </w:r>
      <w:r w:rsidRPr="00BA3A0C">
        <w:rPr>
          <w:lang w:val="es-ES_tradnl"/>
        </w:rPr>
        <w:t>desead</w:t>
      </w:r>
      <w:r w:rsidR="00F20D51" w:rsidRPr="00BA3A0C">
        <w:rPr>
          <w:lang w:val="es-ES_tradnl"/>
        </w:rPr>
        <w:t>a</w:t>
      </w:r>
      <w:r w:rsidRPr="00BA3A0C">
        <w:rPr>
          <w:lang w:val="es-ES_tradnl"/>
        </w:rPr>
        <w:t xml:space="preserve">s, será fundamental la participación de los socios aseguradores y de sus expertos en seguro inclusivo. Su </w:t>
      </w:r>
      <w:r w:rsidR="00884DA4" w:rsidRPr="00BA3A0C">
        <w:rPr>
          <w:lang w:val="es-ES_tradnl"/>
        </w:rPr>
        <w:t>aporte</w:t>
      </w:r>
      <w:r w:rsidRPr="00BA3A0C">
        <w:rPr>
          <w:lang w:val="es-ES_tradnl"/>
        </w:rPr>
        <w:t xml:space="preserve"> de conocimientos, asesoramiento y recomendaciones sobre los modelos comerciales de seguro que emplearán los operadores designados participantes contribuirán a garantizar el éxito del proyecto.</w:t>
      </w:r>
    </w:p>
    <w:p w14:paraId="74575CEF" w14:textId="77777777" w:rsidR="0052621E" w:rsidRPr="00BA3A0C" w:rsidRDefault="0052621E" w:rsidP="0055577B">
      <w:pPr>
        <w:spacing w:line="230" w:lineRule="exact"/>
        <w:rPr>
          <w:lang w:val="es-ES_tradnl"/>
        </w:rPr>
      </w:pPr>
    </w:p>
    <w:p w14:paraId="569532FC" w14:textId="77777777" w:rsidR="0052621E" w:rsidRPr="00BA3A0C" w:rsidRDefault="0052621E" w:rsidP="0055577B">
      <w:pPr>
        <w:spacing w:line="230" w:lineRule="exact"/>
        <w:rPr>
          <w:b/>
          <w:bCs/>
          <w:lang w:val="es-ES_tradnl"/>
        </w:rPr>
      </w:pPr>
      <w:r w:rsidRPr="00BA3A0C">
        <w:rPr>
          <w:b/>
          <w:lang w:val="es-ES_tradnl"/>
        </w:rPr>
        <w:t>2.</w:t>
      </w:r>
      <w:r w:rsidRPr="00BA3A0C">
        <w:rPr>
          <w:b/>
          <w:lang w:val="es-ES_tradnl"/>
        </w:rPr>
        <w:tab/>
        <w:t>Objetivos y alcance de los proyectos considerados</w:t>
      </w:r>
    </w:p>
    <w:p w14:paraId="34D1D89F" w14:textId="77777777" w:rsidR="0052621E" w:rsidRPr="00BA3A0C" w:rsidRDefault="0052621E" w:rsidP="0055577B">
      <w:pPr>
        <w:spacing w:line="230" w:lineRule="exact"/>
        <w:rPr>
          <w:lang w:val="es-ES_tradnl"/>
        </w:rPr>
      </w:pPr>
    </w:p>
    <w:p w14:paraId="717014E4" w14:textId="77777777" w:rsidR="0052621E" w:rsidRPr="00BA3A0C" w:rsidRDefault="0052621E" w:rsidP="0055577B">
      <w:pPr>
        <w:spacing w:line="230" w:lineRule="exact"/>
        <w:rPr>
          <w:lang w:val="es-ES_tradnl"/>
        </w:rPr>
      </w:pPr>
      <w:r w:rsidRPr="00BA3A0C">
        <w:rPr>
          <w:lang w:val="es-ES_tradnl"/>
        </w:rPr>
        <w:t>La UPU aportará financiación inicial para apoyar los proyectos seleccionados que cumplan los criterios establecidos a continuación (sujeto a la celebración del instrumento contractual pertinente entre la UPU y el operador designado participante), centrándose prioritariamente en proyectos que fomenten, permitan y desplieguen capacidades en materia de seguro postal inclusivo.</w:t>
      </w:r>
    </w:p>
    <w:p w14:paraId="73DE5374" w14:textId="77777777" w:rsidR="0052621E" w:rsidRPr="00BA3A0C" w:rsidRDefault="0052621E" w:rsidP="0055577B">
      <w:pPr>
        <w:spacing w:line="230" w:lineRule="exact"/>
        <w:rPr>
          <w:lang w:val="es-ES_tradnl"/>
        </w:rPr>
      </w:pPr>
    </w:p>
    <w:p w14:paraId="3334873F" w14:textId="4879DECE" w:rsidR="0052621E" w:rsidRPr="00BA3A0C" w:rsidRDefault="0052621E" w:rsidP="0055577B">
      <w:pPr>
        <w:spacing w:line="230" w:lineRule="exact"/>
        <w:rPr>
          <w:lang w:val="es-ES_tradnl"/>
        </w:rPr>
      </w:pPr>
      <w:r w:rsidRPr="00BA3A0C">
        <w:rPr>
          <w:lang w:val="es-ES_tradnl"/>
        </w:rPr>
        <w:t xml:space="preserve">Estos proyectos deben </w:t>
      </w:r>
      <w:r w:rsidR="002C0746" w:rsidRPr="00BA3A0C">
        <w:rPr>
          <w:lang w:val="es-ES_tradnl"/>
        </w:rPr>
        <w:t xml:space="preserve">tener </w:t>
      </w:r>
      <w:r w:rsidRPr="00BA3A0C">
        <w:rPr>
          <w:lang w:val="es-ES_tradnl"/>
        </w:rPr>
        <w:t>algunos de los objetivos</w:t>
      </w:r>
      <w:r w:rsidR="005A4815" w:rsidRPr="00BA3A0C">
        <w:rPr>
          <w:lang w:val="es-ES_tradnl"/>
        </w:rPr>
        <w:t xml:space="preserve"> siguientes</w:t>
      </w:r>
      <w:r w:rsidRPr="00BA3A0C">
        <w:rPr>
          <w:lang w:val="es-ES_tradnl"/>
        </w:rPr>
        <w:t>:</w:t>
      </w:r>
    </w:p>
    <w:p w14:paraId="01354A57" w14:textId="75100277"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 xml:space="preserve">Desarrollar productos de seguro inclusivo centrados en </w:t>
      </w:r>
      <w:r w:rsidR="005A4815" w:rsidRPr="00BA3A0C">
        <w:rPr>
          <w:lang w:val="es-ES_tradnl"/>
        </w:rPr>
        <w:t xml:space="preserve">la clientela </w:t>
      </w:r>
      <w:r w:rsidR="0052621E" w:rsidRPr="00BA3A0C">
        <w:rPr>
          <w:lang w:val="es-ES_tradnl"/>
        </w:rPr>
        <w:t>para los grupos vulnerables (p. ej., mujeres, micro, pequeñas y medianas empresas (</w:t>
      </w:r>
      <w:proofErr w:type="spellStart"/>
      <w:r w:rsidR="0052621E" w:rsidRPr="00BA3A0C">
        <w:rPr>
          <w:lang w:val="es-ES_tradnl"/>
        </w:rPr>
        <w:t>mipymes</w:t>
      </w:r>
      <w:proofErr w:type="spellEnd"/>
      <w:r w:rsidR="0052621E" w:rsidRPr="00BA3A0C">
        <w:rPr>
          <w:lang w:val="es-ES_tradnl"/>
        </w:rPr>
        <w:t>), agricultores, jóvenes y ancianos).</w:t>
      </w:r>
    </w:p>
    <w:p w14:paraId="7471A5E6" w14:textId="3F6B048F"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 xml:space="preserve">Promover el diseño de productos innovadores y la simplificación de la experiencia de la clientela </w:t>
      </w:r>
      <w:r w:rsidR="005A4815" w:rsidRPr="00BA3A0C">
        <w:rPr>
          <w:lang w:val="es-ES_tradnl"/>
        </w:rPr>
        <w:t xml:space="preserve">mediante </w:t>
      </w:r>
      <w:r w:rsidR="0052621E" w:rsidRPr="00BA3A0C">
        <w:rPr>
          <w:lang w:val="es-ES_tradnl"/>
        </w:rPr>
        <w:t xml:space="preserve">un proceso de seguro inclusivo racionalizado que </w:t>
      </w:r>
      <w:r w:rsidR="002C0746" w:rsidRPr="00BA3A0C">
        <w:rPr>
          <w:lang w:val="es-ES_tradnl"/>
        </w:rPr>
        <w:t>integre</w:t>
      </w:r>
      <w:r w:rsidR="0052621E" w:rsidRPr="00BA3A0C">
        <w:rPr>
          <w:lang w:val="es-ES_tradnl"/>
        </w:rPr>
        <w:t xml:space="preserve"> las necesidades de la clientela y que a la vez se ajuste a los objetivos del proyecto PITAF. </w:t>
      </w:r>
    </w:p>
    <w:p w14:paraId="46F64E88" w14:textId="5431D36E"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 xml:space="preserve">Diversificar los productos y servicios del operador designado para que </w:t>
      </w:r>
      <w:r w:rsidR="002C0746" w:rsidRPr="00BA3A0C">
        <w:rPr>
          <w:lang w:val="es-ES_tradnl"/>
        </w:rPr>
        <w:t xml:space="preserve">este </w:t>
      </w:r>
      <w:r w:rsidR="0052621E" w:rsidRPr="00BA3A0C">
        <w:rPr>
          <w:lang w:val="es-ES_tradnl"/>
        </w:rPr>
        <w:t>ofrezca servicios de seguro inclusivo y fortalezca sus soluciones y su sostenibilidad financiera.</w:t>
      </w:r>
    </w:p>
    <w:p w14:paraId="722FA506" w14:textId="22457FE7"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Facilitar las asociaciones entre los distintos actores, incluidos los operadores designados, los proveedores de servicios de seguro y los Gobiernos, con el fin de crear un entorno favorable para el desarrollo del seguro inclusivo.</w:t>
      </w:r>
    </w:p>
    <w:p w14:paraId="28DACD6B" w14:textId="7C97367A"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Apoyar los objetivos nacionales de inclusión financiera.</w:t>
      </w:r>
    </w:p>
    <w:p w14:paraId="6D074D9F" w14:textId="58DF7EC5"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Ofrecer programas de fortalecimiento de capacidades y de capacitación en materia de seguro y proporcionar una plataforma para el intercambio de conocimientos.</w:t>
      </w:r>
    </w:p>
    <w:p w14:paraId="4C39BF1A" w14:textId="117EC5E4" w:rsidR="0052621E" w:rsidRPr="00BA3A0C" w:rsidRDefault="00BA3A0C" w:rsidP="0055577B">
      <w:pPr>
        <w:pageBreakBefore/>
        <w:spacing w:before="120" w:line="230" w:lineRule="exact"/>
        <w:ind w:left="567" w:hanging="567"/>
        <w:rPr>
          <w:lang w:val="es-ES_tradnl"/>
        </w:rPr>
      </w:pPr>
      <w:r>
        <w:rPr>
          <w:lang w:val="es-ES_tradnl"/>
        </w:rPr>
        <w:lastRenderedPageBreak/>
        <w:t>–</w:t>
      </w:r>
      <w:r>
        <w:rPr>
          <w:lang w:val="es-ES_tradnl"/>
        </w:rPr>
        <w:tab/>
      </w:r>
      <w:r w:rsidR="0052621E" w:rsidRPr="00BA3A0C">
        <w:rPr>
          <w:lang w:val="es-ES_tradnl"/>
        </w:rPr>
        <w:t xml:space="preserve">Examinar y apoyar las perspectivas de disposiciones reglamentarias </w:t>
      </w:r>
      <w:r w:rsidR="00F20D51" w:rsidRPr="00BA3A0C">
        <w:rPr>
          <w:lang w:val="es-ES_tradnl"/>
        </w:rPr>
        <w:t xml:space="preserve">en materia de </w:t>
      </w:r>
      <w:r w:rsidR="0052621E" w:rsidRPr="00BA3A0C">
        <w:rPr>
          <w:lang w:val="es-ES_tradnl"/>
        </w:rPr>
        <w:t>seguro postal inclusivo.</w:t>
      </w:r>
    </w:p>
    <w:p w14:paraId="5E65297A" w14:textId="3EF8B5EA" w:rsidR="0052621E" w:rsidRPr="00BA3A0C" w:rsidRDefault="00BA3A0C" w:rsidP="0055577B">
      <w:pPr>
        <w:spacing w:before="120" w:line="230" w:lineRule="exact"/>
        <w:ind w:left="567" w:hanging="567"/>
        <w:rPr>
          <w:lang w:val="es-ES_tradnl"/>
        </w:rPr>
      </w:pPr>
      <w:r>
        <w:rPr>
          <w:lang w:val="es-ES_tradnl"/>
        </w:rPr>
        <w:t>–</w:t>
      </w:r>
      <w:r>
        <w:rPr>
          <w:lang w:val="es-ES_tradnl"/>
        </w:rPr>
        <w:tab/>
      </w:r>
      <w:r w:rsidR="0052621E" w:rsidRPr="00BA3A0C">
        <w:rPr>
          <w:lang w:val="es-ES_tradnl"/>
        </w:rPr>
        <w:t>Garantizar que se defin</w:t>
      </w:r>
      <w:r w:rsidR="00F76E9B" w:rsidRPr="00BA3A0C">
        <w:rPr>
          <w:lang w:val="es-ES_tradnl"/>
        </w:rPr>
        <w:t>a</w:t>
      </w:r>
      <w:r w:rsidR="0052621E" w:rsidRPr="00BA3A0C">
        <w:rPr>
          <w:lang w:val="es-ES_tradnl"/>
        </w:rPr>
        <w:t>n claramente las repercusiones del proyecto en la clientela, en los operadores y en la política de inclusión financiera.</w:t>
      </w:r>
    </w:p>
    <w:p w14:paraId="69F50FC6" w14:textId="77777777" w:rsidR="0052621E" w:rsidRPr="00BA3A0C" w:rsidRDefault="0052621E" w:rsidP="0055577B">
      <w:pPr>
        <w:spacing w:line="230" w:lineRule="exact"/>
        <w:rPr>
          <w:lang w:val="es-ES_tradnl"/>
        </w:rPr>
      </w:pPr>
    </w:p>
    <w:p w14:paraId="796B12B1" w14:textId="77777777" w:rsidR="0052621E" w:rsidRPr="00BA3A0C" w:rsidRDefault="0052621E" w:rsidP="0055577B">
      <w:pPr>
        <w:spacing w:line="230" w:lineRule="exact"/>
        <w:rPr>
          <w:bCs/>
          <w:i/>
          <w:iCs/>
          <w:lang w:val="es-ES_tradnl"/>
        </w:rPr>
      </w:pPr>
      <w:r w:rsidRPr="00BA3A0C">
        <w:rPr>
          <w:bCs/>
          <w:i/>
          <w:iCs/>
          <w:lang w:val="es-ES_tradnl"/>
        </w:rPr>
        <w:t>Posibles áreas de atención</w:t>
      </w:r>
    </w:p>
    <w:p w14:paraId="1BB9027E" w14:textId="113227A6"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Evaluación de las oportunidades comerciales en materia de seguro postal inclusivo (es decir, alcance, repercusiones y soluciones necesarias en materia de seguro inclusivo).</w:t>
      </w:r>
    </w:p>
    <w:p w14:paraId="23A16EB9" w14:textId="2F77E62B"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Evaluación de las necesidades de gestión para las opciones de asociación y los modelos en materia de seguro.</w:t>
      </w:r>
    </w:p>
    <w:p w14:paraId="0321659C" w14:textId="3206579C"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 xml:space="preserve">Análisis del </w:t>
      </w:r>
      <w:r w:rsidR="00F76E9B" w:rsidRPr="00BA3A0C">
        <w:rPr>
          <w:lang w:val="es-ES_tradnl"/>
        </w:rPr>
        <w:t>estado</w:t>
      </w:r>
      <w:r w:rsidR="0052621E" w:rsidRPr="00BA3A0C">
        <w:rPr>
          <w:lang w:val="es-ES_tradnl"/>
        </w:rPr>
        <w:t xml:space="preserve"> de preparación operativa del operador designado en materia de seguro, </w:t>
      </w:r>
      <w:r w:rsidR="00F76E9B" w:rsidRPr="00BA3A0C">
        <w:rPr>
          <w:lang w:val="es-ES_tradnl"/>
        </w:rPr>
        <w:t>así como</w:t>
      </w:r>
      <w:r w:rsidR="0052621E" w:rsidRPr="00BA3A0C">
        <w:rPr>
          <w:lang w:val="es-ES_tradnl"/>
        </w:rPr>
        <w:t xml:space="preserve"> de las oportunidades y ventajas de la diversificación.</w:t>
      </w:r>
    </w:p>
    <w:p w14:paraId="3343C034" w14:textId="346BA7A9"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Examen de los procedimientos operativos para adaptarse a nuevas técnicas de venta y a nuevos entornos en materia de seguro inclusivo.</w:t>
      </w:r>
    </w:p>
    <w:p w14:paraId="49315D04" w14:textId="5F08C0BE"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F76E9B" w:rsidRPr="00BA3A0C">
        <w:rPr>
          <w:lang w:val="es-ES_tradnl"/>
        </w:rPr>
        <w:t>Definición</w:t>
      </w:r>
      <w:r w:rsidR="0052621E" w:rsidRPr="00BA3A0C">
        <w:rPr>
          <w:lang w:val="es-ES_tradnl"/>
        </w:rPr>
        <w:t xml:space="preserve"> de las especificaciones en materia de seguro postal y</w:t>
      </w:r>
      <w:r w:rsidR="00F76E9B" w:rsidRPr="00BA3A0C">
        <w:rPr>
          <w:lang w:val="es-ES_tradnl"/>
        </w:rPr>
        <w:t xml:space="preserve"> establecimiento</w:t>
      </w:r>
      <w:r w:rsidR="0052621E" w:rsidRPr="00BA3A0C">
        <w:rPr>
          <w:lang w:val="es-ES_tradnl"/>
        </w:rPr>
        <w:t xml:space="preserve"> de modelos de asociaciones comerciales.</w:t>
      </w:r>
    </w:p>
    <w:p w14:paraId="05CA2FEF" w14:textId="714B9F50"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Identificación de prestadores de servicios de seguro inclusivo, respetando las directrices nacionales en materia de contratación.</w:t>
      </w:r>
    </w:p>
    <w:p w14:paraId="389D9042" w14:textId="11ACCBC4"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 xml:space="preserve">Preparación de planes nacionales de salida al mercado en apoyo de las asociaciones locales (incluido el diseño de propuestas de </w:t>
      </w:r>
      <w:r w:rsidR="00F76E9B" w:rsidRPr="00BA3A0C">
        <w:rPr>
          <w:lang w:val="es-ES_tradnl"/>
        </w:rPr>
        <w:t xml:space="preserve">llamados a </w:t>
      </w:r>
      <w:r w:rsidR="0052621E" w:rsidRPr="00BA3A0C">
        <w:rPr>
          <w:lang w:val="es-ES_tradnl"/>
        </w:rPr>
        <w:t>licitación) y que conduzcan a planes de despliegue escalables.</w:t>
      </w:r>
    </w:p>
    <w:p w14:paraId="0FB402CE" w14:textId="1F1BD818"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Examen del estado de preparación técnica de los servicios postales para desplegar e integrar capacidades en materia de seguro inclusivo.</w:t>
      </w:r>
    </w:p>
    <w:p w14:paraId="07DC4F9D" w14:textId="7F713A43"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Realización de evaluaciones del mercado competitivo.</w:t>
      </w:r>
    </w:p>
    <w:p w14:paraId="29E6E50C" w14:textId="4BEE4FA8" w:rsidR="0052621E" w:rsidRPr="00BA3A0C" w:rsidRDefault="00BA3A0C" w:rsidP="0055577B">
      <w:pPr>
        <w:tabs>
          <w:tab w:val="num" w:pos="1134"/>
        </w:tabs>
        <w:spacing w:before="120" w:line="230" w:lineRule="exact"/>
        <w:ind w:left="567" w:hanging="567"/>
        <w:rPr>
          <w:lang w:val="es-ES_tradnl"/>
        </w:rPr>
      </w:pPr>
      <w:r>
        <w:rPr>
          <w:lang w:val="es-ES_tradnl"/>
        </w:rPr>
        <w:t>–</w:t>
      </w:r>
      <w:r>
        <w:rPr>
          <w:lang w:val="es-ES_tradnl"/>
        </w:rPr>
        <w:tab/>
      </w:r>
      <w:r w:rsidR="0052621E" w:rsidRPr="00BA3A0C">
        <w:rPr>
          <w:lang w:val="es-ES_tradnl"/>
        </w:rPr>
        <w:t>Desarrollo de actividades de marketing y promoción del seguro inclusivo y de planes de educación para sensibilizar sobre las ventajas del seguro inclusivo y las formas de acceder a las soluciones.</w:t>
      </w:r>
    </w:p>
    <w:p w14:paraId="19EDBAE1" w14:textId="77777777" w:rsidR="0052621E" w:rsidRDefault="0052621E" w:rsidP="0055577B">
      <w:pPr>
        <w:spacing w:line="230" w:lineRule="exact"/>
        <w:rPr>
          <w:lang w:val="es-ES_tradnl"/>
        </w:rPr>
      </w:pPr>
    </w:p>
    <w:p w14:paraId="69C647F1" w14:textId="77777777" w:rsidR="00CB7AE0" w:rsidRPr="00BA3A0C" w:rsidRDefault="00CB7AE0" w:rsidP="0055577B">
      <w:pPr>
        <w:spacing w:line="230" w:lineRule="exact"/>
        <w:rPr>
          <w:lang w:val="es-ES_tradnl"/>
        </w:rPr>
      </w:pPr>
    </w:p>
    <w:p w14:paraId="50270215" w14:textId="77777777" w:rsidR="0052621E" w:rsidRPr="00BA3A0C" w:rsidRDefault="0052621E" w:rsidP="0055577B">
      <w:pPr>
        <w:spacing w:line="230" w:lineRule="exact"/>
        <w:rPr>
          <w:b/>
          <w:bCs/>
          <w:lang w:val="es-ES_tradnl"/>
        </w:rPr>
      </w:pPr>
      <w:r w:rsidRPr="00BA3A0C">
        <w:rPr>
          <w:b/>
          <w:lang w:val="es-ES_tradnl"/>
        </w:rPr>
        <w:t>3.</w:t>
      </w:r>
      <w:r w:rsidRPr="00BA3A0C">
        <w:rPr>
          <w:b/>
          <w:lang w:val="es-ES_tradnl"/>
        </w:rPr>
        <w:tab/>
        <w:t>Evaluación y selección de propuestas</w:t>
      </w:r>
    </w:p>
    <w:p w14:paraId="0387D040" w14:textId="77777777" w:rsidR="0052621E" w:rsidRPr="00BA3A0C" w:rsidRDefault="0052621E" w:rsidP="0055577B">
      <w:pPr>
        <w:spacing w:line="230" w:lineRule="exact"/>
        <w:rPr>
          <w:lang w:val="es-ES_tradnl"/>
        </w:rPr>
      </w:pPr>
    </w:p>
    <w:p w14:paraId="0C4CDAF4" w14:textId="087ED0E7" w:rsidR="0052621E" w:rsidRPr="00BA3A0C" w:rsidRDefault="0052621E" w:rsidP="0055577B">
      <w:pPr>
        <w:spacing w:line="230" w:lineRule="exact"/>
        <w:rPr>
          <w:lang w:val="es-ES_tradnl"/>
        </w:rPr>
      </w:pPr>
      <w:r w:rsidRPr="00BA3A0C">
        <w:rPr>
          <w:lang w:val="es-ES_tradnl"/>
        </w:rPr>
        <w:t>La UPU examinará las propuestas de proyecto en función de su alcance, objetivos y posibles repercusiones para el usuario final (la clientela). Todas las propuestas recibidas se evaluarán sobre la base de los criterios establecidos por la UPU, incluidos los siguientes:</w:t>
      </w:r>
    </w:p>
    <w:p w14:paraId="7B7882DA" w14:textId="462B1A39"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Posibilidad o existencia de un marco jurídico reglamentario que permita que el operador designado pueda ofrecer servicios de seguro.</w:t>
      </w:r>
    </w:p>
    <w:p w14:paraId="5940D895" w14:textId="6A9A3BC6"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 xml:space="preserve">Compromiso del Gobierno de promover la inclusión financiera mediante las redes postales y de apoyar el desarrollo de ofertas de servicios de seguro inclusivo por parte del operador designado. </w:t>
      </w:r>
    </w:p>
    <w:p w14:paraId="27C1C1D8" w14:textId="2ACA8C71"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Voluntad de la dirección general del operador designado de lograr un</w:t>
      </w:r>
      <w:r w:rsidR="00F20D51" w:rsidRPr="00BA3A0C">
        <w:rPr>
          <w:lang w:val="es-ES_tradnl"/>
        </w:rPr>
        <w:t>a</w:t>
      </w:r>
      <w:r w:rsidR="0052621E" w:rsidRPr="00BA3A0C">
        <w:rPr>
          <w:lang w:val="es-ES_tradnl"/>
        </w:rPr>
        <w:t xml:space="preserve"> mayor </w:t>
      </w:r>
      <w:r w:rsidR="00F20D51" w:rsidRPr="00BA3A0C">
        <w:rPr>
          <w:lang w:val="es-ES_tradnl"/>
        </w:rPr>
        <w:t>repercusión</w:t>
      </w:r>
      <w:r w:rsidR="0052621E" w:rsidRPr="00BA3A0C">
        <w:rPr>
          <w:lang w:val="es-ES_tradnl"/>
        </w:rPr>
        <w:t xml:space="preserve"> en materia de seguro inclusivo como uno de los medios para favorecer la inclusión financiera.</w:t>
      </w:r>
    </w:p>
    <w:p w14:paraId="4F363CA8" w14:textId="2CDC9C69"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Pertinencia del proyecto propuesto para los objetivos nacionales de inclusión financiera y los objetivos del PITAF.</w:t>
      </w:r>
    </w:p>
    <w:p w14:paraId="6EC1D3EB" w14:textId="2C5AB1A5"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Capacidad del operador designado de implementar el proyecto propuesto dentro de los plazos requeridos.</w:t>
      </w:r>
    </w:p>
    <w:p w14:paraId="1CEBC4E0" w14:textId="630C443F"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Equipo de proyecto y recursos del operador designado claramente identificados para la implementación del proyecto a escala local.</w:t>
      </w:r>
    </w:p>
    <w:p w14:paraId="1BEC8B6F" w14:textId="55799909"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Enfoque del proyecto propuesto en las innovaciones para mejorar el acceso al seguro, la tecnología, los modelos operativos y los canales de distribución.</w:t>
      </w:r>
    </w:p>
    <w:p w14:paraId="5CADF4CB" w14:textId="15F77BE7"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 xml:space="preserve">Proyecto </w:t>
      </w:r>
      <w:r w:rsidR="00A248D1" w:rsidRPr="00BA3A0C">
        <w:rPr>
          <w:lang w:val="es-ES_tradnl"/>
        </w:rPr>
        <w:t xml:space="preserve">propuesto </w:t>
      </w:r>
      <w:r w:rsidR="0052621E" w:rsidRPr="00BA3A0C">
        <w:rPr>
          <w:lang w:val="es-ES_tradnl"/>
        </w:rPr>
        <w:t xml:space="preserve">centrado en la clientela </w:t>
      </w:r>
      <w:r w:rsidR="00A248D1" w:rsidRPr="00BA3A0C">
        <w:rPr>
          <w:lang w:val="es-ES_tradnl"/>
        </w:rPr>
        <w:t>y con</w:t>
      </w:r>
      <w:r w:rsidR="0052621E" w:rsidRPr="00BA3A0C">
        <w:rPr>
          <w:lang w:val="es-ES_tradnl"/>
        </w:rPr>
        <w:t xml:space="preserve"> </w:t>
      </w:r>
      <w:r w:rsidR="00A248D1" w:rsidRPr="00BA3A0C">
        <w:rPr>
          <w:lang w:val="es-ES_tradnl"/>
        </w:rPr>
        <w:t>el propósito</w:t>
      </w:r>
      <w:r w:rsidR="0052621E" w:rsidRPr="00BA3A0C">
        <w:rPr>
          <w:lang w:val="es-ES_tradnl"/>
        </w:rPr>
        <w:t xml:space="preserve"> de </w:t>
      </w:r>
      <w:r w:rsidR="0005199B" w:rsidRPr="00BA3A0C">
        <w:rPr>
          <w:lang w:val="es-ES_tradnl"/>
        </w:rPr>
        <w:t xml:space="preserve">atender </w:t>
      </w:r>
      <w:r w:rsidR="0052621E" w:rsidRPr="00BA3A0C">
        <w:rPr>
          <w:lang w:val="es-ES_tradnl"/>
        </w:rPr>
        <w:t>a poblaciones vulnerables (p</w:t>
      </w:r>
      <w:r w:rsidR="00A248D1" w:rsidRPr="00BA3A0C">
        <w:rPr>
          <w:lang w:val="es-ES_tradnl"/>
        </w:rPr>
        <w:t>. </w:t>
      </w:r>
      <w:r w:rsidR="0052621E" w:rsidRPr="00BA3A0C">
        <w:rPr>
          <w:lang w:val="es-ES_tradnl"/>
        </w:rPr>
        <w:t xml:space="preserve">ej., </w:t>
      </w:r>
      <w:proofErr w:type="spellStart"/>
      <w:r w:rsidR="0052621E" w:rsidRPr="00BA3A0C">
        <w:rPr>
          <w:lang w:val="es-ES_tradnl"/>
        </w:rPr>
        <w:t>mipymes</w:t>
      </w:r>
      <w:proofErr w:type="spellEnd"/>
      <w:r w:rsidR="0052621E" w:rsidRPr="00BA3A0C">
        <w:rPr>
          <w:lang w:val="es-ES_tradnl"/>
        </w:rPr>
        <w:t xml:space="preserve">, agricultores, jóvenes, mujeres, ancianos y otras poblaciones </w:t>
      </w:r>
      <w:proofErr w:type="spellStart"/>
      <w:r w:rsidR="0052621E" w:rsidRPr="00BA3A0C">
        <w:rPr>
          <w:lang w:val="es-ES_tradnl"/>
        </w:rPr>
        <w:t>subatendidas</w:t>
      </w:r>
      <w:proofErr w:type="spellEnd"/>
      <w:r w:rsidR="0052621E" w:rsidRPr="00BA3A0C">
        <w:rPr>
          <w:lang w:val="es-ES_tradnl"/>
        </w:rPr>
        <w:t>).</w:t>
      </w:r>
    </w:p>
    <w:p w14:paraId="1894F6ED" w14:textId="53E21532"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Objetivos claros y compromisos concretos en cuanto a los segmentos de clientela a los que se pretende captar e incorporar al proyecto (p. ej., cantidad de asegurados, importes de las primas, tipos de seguros).</w:t>
      </w:r>
    </w:p>
    <w:p w14:paraId="25D19A25" w14:textId="6B5E60AD"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Apertura a nuevas opciones de asociación y la correspondiente armonización con los reguladores.</w:t>
      </w:r>
    </w:p>
    <w:p w14:paraId="7513522F" w14:textId="546C562B" w:rsidR="0052621E" w:rsidRPr="00BA3A0C" w:rsidRDefault="00960C87" w:rsidP="0055577B">
      <w:pPr>
        <w:tabs>
          <w:tab w:val="num" w:pos="567"/>
        </w:tabs>
        <w:spacing w:before="120" w:line="230" w:lineRule="exact"/>
        <w:ind w:left="567" w:hanging="567"/>
        <w:rPr>
          <w:lang w:val="es-ES_tradnl"/>
        </w:rPr>
      </w:pPr>
      <w:r w:rsidRPr="00BA3A0C">
        <w:rPr>
          <w:lang w:val="es-ES_tradnl"/>
        </w:rPr>
        <w:lastRenderedPageBreak/>
        <w:t>–</w:t>
      </w:r>
      <w:r w:rsidRPr="00BA3A0C">
        <w:rPr>
          <w:lang w:val="es-ES_tradnl"/>
        </w:rPr>
        <w:tab/>
      </w:r>
      <w:r w:rsidR="0052621E" w:rsidRPr="00BA3A0C">
        <w:rPr>
          <w:lang w:val="es-ES_tradnl"/>
        </w:rPr>
        <w:t>Voluntad de adoptar y aplicar las lecciones aprendidas y las mejores prácticas en materia de seguro inclusivo mediante la colaboración con los expertos del programa PITAF o los proveedores de servicios locales.</w:t>
      </w:r>
    </w:p>
    <w:p w14:paraId="0144BFA0" w14:textId="3DA7DBD7"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Armonización del proyecto de seguro inclusivo con la estrategia general del operador designado.</w:t>
      </w:r>
    </w:p>
    <w:p w14:paraId="45781BFD" w14:textId="708BB811"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 xml:space="preserve">Compromiso y objetivo de lanzar o ampliar las soluciones postales de seguro inclusivo antes del final del programa PITAF, </w:t>
      </w:r>
      <w:r w:rsidR="00A248D1" w:rsidRPr="00BA3A0C">
        <w:rPr>
          <w:lang w:val="es-ES_tradnl"/>
        </w:rPr>
        <w:t xml:space="preserve">adoptando </w:t>
      </w:r>
      <w:r w:rsidR="0052621E" w:rsidRPr="00BA3A0C">
        <w:rPr>
          <w:lang w:val="es-ES_tradnl"/>
        </w:rPr>
        <w:t>los procesos definidos y los modelos operativos y de activación de productos</w:t>
      </w:r>
      <w:r w:rsidR="00A248D1" w:rsidRPr="00BA3A0C">
        <w:rPr>
          <w:lang w:val="es-ES_tradnl"/>
        </w:rPr>
        <w:t>, por ejemplo</w:t>
      </w:r>
      <w:r w:rsidR="0052621E" w:rsidRPr="00BA3A0C">
        <w:rPr>
          <w:lang w:val="es-ES_tradnl"/>
        </w:rPr>
        <w:t>.</w:t>
      </w:r>
    </w:p>
    <w:p w14:paraId="2BD6A1F6" w14:textId="0694395F"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Aporte de financiación adicional por parte del operador designado y sus socios para el lanzamiento del proyecto de seguro inclusivo. El operador designado debe estar dispuesto a cofinanciar los costos del proyecto aportando un importe equivalente a por lo menos el 25% de la subvención otorgada por la UPU, o al menos 10 000 USD (ver la sección 4 a continuación).</w:t>
      </w:r>
    </w:p>
    <w:p w14:paraId="641032A1" w14:textId="4B392627" w:rsidR="0052621E" w:rsidRPr="00BA3A0C" w:rsidRDefault="00960C87"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Las repercusiones esperadas del proyecto en materia de inclusión financiera tienen en cuenta diversos elementos, entre ellos los siguientes:</w:t>
      </w:r>
    </w:p>
    <w:p w14:paraId="5C7349A4" w14:textId="33B8B41F" w:rsidR="0052621E" w:rsidRPr="00BA3A0C" w:rsidRDefault="00E31A40" w:rsidP="0055577B">
      <w:pPr>
        <w:pStyle w:val="2Deuximeretrait"/>
        <w:spacing w:line="230" w:lineRule="exact"/>
        <w:ind w:left="1134" w:hanging="567"/>
        <w:rPr>
          <w:lang w:val="es-ES_tradnl"/>
        </w:rPr>
      </w:pPr>
      <w:r>
        <w:rPr>
          <w:lang w:val="es-ES_tradnl"/>
        </w:rPr>
        <w:t>•</w:t>
      </w:r>
      <w:r>
        <w:rPr>
          <w:lang w:val="es-ES_tradnl"/>
        </w:rPr>
        <w:tab/>
      </w:r>
      <w:r w:rsidR="0052621E" w:rsidRPr="00BA3A0C">
        <w:rPr>
          <w:lang w:val="es-ES_tradnl"/>
        </w:rPr>
        <w:t>Fijación de objetivos en cuanto a las cantidades y los segmentos de clientes postales, definición</w:t>
      </w:r>
      <w:r w:rsidR="00960C87" w:rsidRPr="00BA3A0C">
        <w:rPr>
          <w:lang w:val="es-ES_tradnl"/>
        </w:rPr>
        <w:t xml:space="preserve"> </w:t>
      </w:r>
      <w:r w:rsidR="0052621E" w:rsidRPr="00BA3A0C">
        <w:rPr>
          <w:lang w:val="es-ES_tradnl"/>
        </w:rPr>
        <w:t>de los tipos de soluciones de seguro que deben desplegarse.</w:t>
      </w:r>
    </w:p>
    <w:p w14:paraId="4DDCFBC8" w14:textId="4EB0884C" w:rsidR="0052621E" w:rsidRPr="00BA3A0C" w:rsidRDefault="00E31A40" w:rsidP="0055577B">
      <w:pPr>
        <w:pStyle w:val="2Deuximeretrait"/>
        <w:spacing w:line="230" w:lineRule="exact"/>
        <w:ind w:left="1134" w:hanging="567"/>
        <w:rPr>
          <w:lang w:val="es-ES_tradnl"/>
        </w:rPr>
      </w:pPr>
      <w:r>
        <w:rPr>
          <w:lang w:val="es-ES_tradnl"/>
        </w:rPr>
        <w:t>•</w:t>
      </w:r>
      <w:r>
        <w:rPr>
          <w:lang w:val="es-ES_tradnl"/>
        </w:rPr>
        <w:tab/>
      </w:r>
      <w:r w:rsidR="0052621E" w:rsidRPr="00BA3A0C">
        <w:rPr>
          <w:lang w:val="es-ES_tradnl"/>
        </w:rPr>
        <w:t xml:space="preserve">Comparación entre los objetivos y la situación actual del mercado para evaluar la cuota de mercado. </w:t>
      </w:r>
    </w:p>
    <w:p w14:paraId="31B41461" w14:textId="21E0143C" w:rsidR="0052621E" w:rsidRPr="00BA3A0C" w:rsidRDefault="00E31A40" w:rsidP="0055577B">
      <w:pPr>
        <w:pStyle w:val="2Deuximeretrait"/>
        <w:spacing w:line="230" w:lineRule="exact"/>
        <w:ind w:left="1134" w:hanging="567"/>
        <w:rPr>
          <w:lang w:val="es-ES_tradnl"/>
        </w:rPr>
      </w:pPr>
      <w:r>
        <w:rPr>
          <w:lang w:val="es-ES_tradnl"/>
        </w:rPr>
        <w:t>•</w:t>
      </w:r>
      <w:r>
        <w:rPr>
          <w:lang w:val="es-ES_tradnl"/>
        </w:rPr>
        <w:tab/>
      </w:r>
      <w:r w:rsidR="0052621E" w:rsidRPr="00BA3A0C">
        <w:rPr>
          <w:lang w:val="es-ES_tradnl"/>
        </w:rPr>
        <w:t xml:space="preserve">Repercusiones y contribuciones </w:t>
      </w:r>
      <w:r w:rsidR="007009D9" w:rsidRPr="00BA3A0C">
        <w:rPr>
          <w:lang w:val="es-ES_tradnl"/>
        </w:rPr>
        <w:t>esperadas</w:t>
      </w:r>
      <w:r w:rsidR="0052621E" w:rsidRPr="00BA3A0C">
        <w:rPr>
          <w:lang w:val="es-ES_tradnl"/>
        </w:rPr>
        <w:t xml:space="preserve"> del proyecto propuesto para el operador designado de que se trate.</w:t>
      </w:r>
    </w:p>
    <w:p w14:paraId="647E9637" w14:textId="20D50EDE" w:rsidR="0052621E" w:rsidRPr="00BA3A0C" w:rsidRDefault="00E31A40" w:rsidP="0055577B">
      <w:pPr>
        <w:pStyle w:val="2Deuximeretrait"/>
        <w:spacing w:line="230" w:lineRule="exact"/>
        <w:ind w:left="1134" w:hanging="567"/>
        <w:rPr>
          <w:lang w:val="es-ES_tradnl"/>
        </w:rPr>
      </w:pPr>
      <w:r>
        <w:rPr>
          <w:lang w:val="es-ES_tradnl"/>
        </w:rPr>
        <w:t>•</w:t>
      </w:r>
      <w:r>
        <w:rPr>
          <w:lang w:val="es-ES_tradnl"/>
        </w:rPr>
        <w:tab/>
      </w:r>
      <w:r w:rsidR="0052621E" w:rsidRPr="00BA3A0C">
        <w:rPr>
          <w:lang w:val="es-ES_tradnl"/>
        </w:rPr>
        <w:t xml:space="preserve">Repercusiones y contribuciones </w:t>
      </w:r>
      <w:r w:rsidR="007009D9" w:rsidRPr="00BA3A0C">
        <w:rPr>
          <w:lang w:val="es-ES_tradnl"/>
        </w:rPr>
        <w:t>esperadas</w:t>
      </w:r>
      <w:r w:rsidR="0052621E" w:rsidRPr="00BA3A0C">
        <w:rPr>
          <w:lang w:val="es-ES_tradnl"/>
        </w:rPr>
        <w:t xml:space="preserve"> del proyecto propuesto para los objetivos nacionales en materia de inclusión financiera.</w:t>
      </w:r>
    </w:p>
    <w:p w14:paraId="6755B909" w14:textId="77777777" w:rsidR="0052621E" w:rsidRPr="00BA3A0C" w:rsidRDefault="0052621E" w:rsidP="0055577B">
      <w:pPr>
        <w:spacing w:line="230" w:lineRule="exact"/>
        <w:rPr>
          <w:lang w:val="es-ES_tradnl"/>
        </w:rPr>
      </w:pPr>
    </w:p>
    <w:p w14:paraId="5EA86E2D" w14:textId="77777777" w:rsidR="0052621E" w:rsidRPr="00BA3A0C" w:rsidRDefault="0052621E" w:rsidP="0055577B">
      <w:pPr>
        <w:spacing w:line="230" w:lineRule="exact"/>
        <w:rPr>
          <w:lang w:val="es-ES_tradnl"/>
        </w:rPr>
      </w:pPr>
    </w:p>
    <w:p w14:paraId="7E97A15D" w14:textId="77777777" w:rsidR="0052621E" w:rsidRPr="00BA3A0C" w:rsidRDefault="0052621E" w:rsidP="0055577B">
      <w:pPr>
        <w:spacing w:line="230" w:lineRule="exact"/>
        <w:rPr>
          <w:b/>
          <w:bCs/>
          <w:lang w:val="es-ES_tradnl"/>
        </w:rPr>
      </w:pPr>
      <w:r w:rsidRPr="00BA3A0C">
        <w:rPr>
          <w:b/>
          <w:lang w:val="es-ES_tradnl"/>
        </w:rPr>
        <w:t>4.</w:t>
      </w:r>
      <w:r w:rsidRPr="00BA3A0C">
        <w:rPr>
          <w:b/>
          <w:lang w:val="es-ES_tradnl"/>
        </w:rPr>
        <w:tab/>
        <w:t>Principios de financiación</w:t>
      </w:r>
    </w:p>
    <w:p w14:paraId="1A167801" w14:textId="77777777" w:rsidR="0052621E" w:rsidRPr="00BA3A0C" w:rsidRDefault="0052621E" w:rsidP="0055577B">
      <w:pPr>
        <w:spacing w:line="230" w:lineRule="exact"/>
        <w:rPr>
          <w:lang w:val="es-ES_tradnl"/>
        </w:rPr>
      </w:pPr>
    </w:p>
    <w:p w14:paraId="6B0684B8" w14:textId="77777777" w:rsidR="0052621E" w:rsidRPr="00BA3A0C" w:rsidRDefault="0052621E" w:rsidP="0055577B">
      <w:pPr>
        <w:spacing w:line="230" w:lineRule="exact"/>
        <w:rPr>
          <w:i/>
          <w:iCs/>
          <w:lang w:val="es-ES_tradnl"/>
        </w:rPr>
      </w:pPr>
      <w:r w:rsidRPr="00BA3A0C">
        <w:rPr>
          <w:i/>
          <w:lang w:val="es-ES_tradnl"/>
        </w:rPr>
        <w:t>Asignación financiera y período de implementación</w:t>
      </w:r>
    </w:p>
    <w:p w14:paraId="741E762F" w14:textId="77777777" w:rsidR="0052621E" w:rsidRPr="00BA3A0C" w:rsidRDefault="0052621E" w:rsidP="0055577B">
      <w:pPr>
        <w:spacing w:line="230" w:lineRule="exact"/>
        <w:rPr>
          <w:lang w:val="es-ES_tradnl"/>
        </w:rPr>
      </w:pPr>
    </w:p>
    <w:p w14:paraId="4FA8E647" w14:textId="77777777" w:rsidR="0052621E" w:rsidRPr="00BA3A0C" w:rsidRDefault="0052621E" w:rsidP="0055577B">
      <w:pPr>
        <w:spacing w:line="230" w:lineRule="exact"/>
        <w:rPr>
          <w:lang w:val="es-ES_tradnl"/>
        </w:rPr>
      </w:pPr>
      <w:r w:rsidRPr="00BA3A0C">
        <w:rPr>
          <w:lang w:val="es-ES_tradnl"/>
        </w:rPr>
        <w:t>La UPU concederá un máximo de 40 000 USD por proyecto seleccionado, sujeto a la celebración del instrumento contractual pertinente entre la UPU y el operador designado participante.</w:t>
      </w:r>
    </w:p>
    <w:p w14:paraId="1D971FB7" w14:textId="1B75354C" w:rsidR="0052621E" w:rsidRPr="00BA3A0C" w:rsidRDefault="0052621E" w:rsidP="0055577B">
      <w:pPr>
        <w:spacing w:line="230" w:lineRule="exact"/>
        <w:rPr>
          <w:lang w:val="es-ES_tradnl"/>
        </w:rPr>
      </w:pPr>
    </w:p>
    <w:p w14:paraId="49A874DD" w14:textId="77777777" w:rsidR="0052621E" w:rsidRPr="00BA3A0C" w:rsidRDefault="0052621E" w:rsidP="0055577B">
      <w:pPr>
        <w:spacing w:line="230" w:lineRule="exact"/>
        <w:rPr>
          <w:lang w:val="es-ES_tradnl"/>
        </w:rPr>
      </w:pPr>
      <w:r w:rsidRPr="00BA3A0C">
        <w:rPr>
          <w:lang w:val="es-ES_tradnl"/>
        </w:rPr>
        <w:t>El período de implementación del proyecto no debe superar los 12 meses.</w:t>
      </w:r>
    </w:p>
    <w:p w14:paraId="5E9823C4" w14:textId="77777777" w:rsidR="0052621E" w:rsidRPr="00BA3A0C" w:rsidRDefault="0052621E" w:rsidP="0055577B">
      <w:pPr>
        <w:spacing w:line="230" w:lineRule="exact"/>
        <w:rPr>
          <w:lang w:val="es-ES_tradnl"/>
        </w:rPr>
      </w:pPr>
    </w:p>
    <w:p w14:paraId="0DA0FC1C" w14:textId="77777777" w:rsidR="0052621E" w:rsidRPr="00BA3A0C" w:rsidRDefault="0052621E" w:rsidP="0055577B">
      <w:pPr>
        <w:spacing w:line="230" w:lineRule="exact"/>
        <w:rPr>
          <w:i/>
          <w:iCs/>
          <w:lang w:val="es-ES_tradnl"/>
        </w:rPr>
      </w:pPr>
      <w:r w:rsidRPr="00BA3A0C">
        <w:rPr>
          <w:i/>
          <w:lang w:val="es-ES_tradnl"/>
        </w:rPr>
        <w:t>Cofinanciación</w:t>
      </w:r>
    </w:p>
    <w:p w14:paraId="73F472D8" w14:textId="77777777" w:rsidR="0052621E" w:rsidRPr="00BA3A0C" w:rsidRDefault="0052621E" w:rsidP="0055577B">
      <w:pPr>
        <w:spacing w:line="230" w:lineRule="exact"/>
        <w:rPr>
          <w:lang w:val="es-ES_tradnl"/>
        </w:rPr>
      </w:pPr>
    </w:p>
    <w:p w14:paraId="03E6BCE9" w14:textId="3D29D08C" w:rsidR="0052621E" w:rsidRPr="00BA3A0C" w:rsidRDefault="0052621E" w:rsidP="0055577B">
      <w:pPr>
        <w:spacing w:line="230" w:lineRule="exact"/>
        <w:rPr>
          <w:lang w:val="es-ES_tradnl"/>
        </w:rPr>
      </w:pPr>
      <w:r w:rsidRPr="00BA3A0C">
        <w:rPr>
          <w:lang w:val="es-ES_tradnl"/>
        </w:rPr>
        <w:t>Se espera que los beneficiarios del proyecto contribuyan a los costos del proyecto con un importe equivalente a por lo menos el 25% de la subvención otorgada por la UPU, o al menos 10 000 USD (p</w:t>
      </w:r>
      <w:r w:rsidR="00F475DC" w:rsidRPr="00BA3A0C">
        <w:rPr>
          <w:lang w:val="es-ES_tradnl"/>
        </w:rPr>
        <w:t>. ej.,</w:t>
      </w:r>
      <w:r w:rsidRPr="00BA3A0C">
        <w:rPr>
          <w:lang w:val="es-ES_tradnl"/>
        </w:rPr>
        <w:t xml:space="preserve"> si la UPU otorga el importe máximo de 40 000 USD para un proyecto seleccionado, el operador designado contribuiría con 10 000 USD, para un presupuesto total del proyecto de 50 000 USD). En circunstancias excepcionales, y cuando esté justificado, la UPU puede considerar aceptar un porcentaje o un importe menor de cofinanciación.</w:t>
      </w:r>
    </w:p>
    <w:p w14:paraId="45E9F49C" w14:textId="77777777" w:rsidR="0052621E" w:rsidRPr="00BA3A0C" w:rsidRDefault="0052621E" w:rsidP="0055577B">
      <w:pPr>
        <w:spacing w:line="230" w:lineRule="exact"/>
        <w:rPr>
          <w:lang w:val="es-ES_tradnl"/>
        </w:rPr>
      </w:pPr>
    </w:p>
    <w:p w14:paraId="3B59E6D4" w14:textId="77777777" w:rsidR="0052621E" w:rsidRPr="00BA3A0C" w:rsidRDefault="0052621E" w:rsidP="0055577B">
      <w:pPr>
        <w:spacing w:line="230" w:lineRule="exact"/>
        <w:rPr>
          <w:lang w:val="es-ES_tradnl"/>
        </w:rPr>
      </w:pPr>
      <w:r w:rsidRPr="00BA3A0C">
        <w:rPr>
          <w:lang w:val="es-ES_tradnl"/>
        </w:rPr>
        <w:t>Los beneficiarios también deberán indicar cualquier contribución que vayan a aportar sus socios.</w:t>
      </w:r>
    </w:p>
    <w:p w14:paraId="02F92AE9" w14:textId="77777777" w:rsidR="0052621E" w:rsidRPr="00BA3A0C" w:rsidRDefault="0052621E" w:rsidP="0055577B">
      <w:pPr>
        <w:spacing w:line="230" w:lineRule="exact"/>
        <w:rPr>
          <w:lang w:val="es-ES_tradnl"/>
        </w:rPr>
      </w:pPr>
    </w:p>
    <w:p w14:paraId="2BEFE298" w14:textId="77777777" w:rsidR="0052621E" w:rsidRPr="00BA3A0C" w:rsidRDefault="0052621E" w:rsidP="0055577B">
      <w:pPr>
        <w:spacing w:line="230" w:lineRule="exact"/>
        <w:rPr>
          <w:i/>
          <w:iCs/>
          <w:lang w:val="es-ES_tradnl"/>
        </w:rPr>
      </w:pPr>
      <w:r w:rsidRPr="00BA3A0C">
        <w:rPr>
          <w:i/>
          <w:lang w:val="es-ES_tradnl"/>
        </w:rPr>
        <w:t>Gastos subvencionables</w:t>
      </w:r>
    </w:p>
    <w:p w14:paraId="2CD4B2AB" w14:textId="77777777" w:rsidR="0052621E" w:rsidRPr="00BA3A0C" w:rsidRDefault="0052621E" w:rsidP="0055577B">
      <w:pPr>
        <w:spacing w:line="230" w:lineRule="exact"/>
        <w:rPr>
          <w:lang w:val="es-ES_tradnl"/>
        </w:rPr>
      </w:pPr>
    </w:p>
    <w:p w14:paraId="76D7259B" w14:textId="2ABCCC14" w:rsidR="0052621E" w:rsidRPr="00BA3A0C" w:rsidRDefault="0052621E" w:rsidP="0055577B">
      <w:pPr>
        <w:spacing w:line="230" w:lineRule="exact"/>
        <w:rPr>
          <w:lang w:val="es-ES_tradnl"/>
        </w:rPr>
      </w:pPr>
      <w:r w:rsidRPr="00BA3A0C">
        <w:rPr>
          <w:lang w:val="es-ES_tradnl"/>
        </w:rPr>
        <w:t>La subvención debería cubrir los costos relacionados con las cuatro principales áreas temáticas del programa PITAF</w:t>
      </w:r>
      <w:r w:rsidR="00F475DC" w:rsidRPr="00BA3A0C">
        <w:rPr>
          <w:lang w:val="es-ES_tradnl"/>
        </w:rPr>
        <w:t xml:space="preserve"> indicadas a continuación</w:t>
      </w:r>
      <w:r w:rsidRPr="00BA3A0C">
        <w:rPr>
          <w:lang w:val="es-ES_tradnl"/>
        </w:rPr>
        <w:t>:</w:t>
      </w:r>
    </w:p>
    <w:p w14:paraId="36CAA332" w14:textId="62461DF1" w:rsidR="0052621E" w:rsidRPr="00BA3A0C" w:rsidRDefault="006E44DA"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Diseño de soluciones y producto de seguro</w:t>
      </w:r>
    </w:p>
    <w:p w14:paraId="16E3809F" w14:textId="50C8C535" w:rsidR="0052621E" w:rsidRPr="00BA3A0C" w:rsidRDefault="006E44DA"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Integración técnica</w:t>
      </w:r>
    </w:p>
    <w:p w14:paraId="30CA03DE" w14:textId="7645916D" w:rsidR="0052621E" w:rsidRPr="00BA3A0C" w:rsidRDefault="006E44DA"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Marketing y activación de clientes</w:t>
      </w:r>
    </w:p>
    <w:p w14:paraId="510326A7" w14:textId="71D20B4D" w:rsidR="0052621E" w:rsidRPr="00BA3A0C" w:rsidRDefault="00364A6D" w:rsidP="0055577B">
      <w:pPr>
        <w:tabs>
          <w:tab w:val="num" w:pos="567"/>
        </w:tabs>
        <w:spacing w:before="120" w:line="230" w:lineRule="exact"/>
        <w:ind w:left="567" w:hanging="567"/>
        <w:rPr>
          <w:lang w:val="es-ES_tradnl"/>
        </w:rPr>
      </w:pPr>
      <w:r w:rsidRPr="00BA3A0C">
        <w:rPr>
          <w:lang w:val="es-ES_tradnl"/>
        </w:rPr>
        <w:t>–</w:t>
      </w:r>
      <w:r w:rsidRPr="00BA3A0C">
        <w:rPr>
          <w:lang w:val="es-ES_tradnl"/>
        </w:rPr>
        <w:tab/>
      </w:r>
      <w:r w:rsidR="0052621E" w:rsidRPr="00BA3A0C">
        <w:rPr>
          <w:lang w:val="es-ES_tradnl"/>
        </w:rPr>
        <w:t xml:space="preserve">Educación y fortalecimiento de capacidades en materia de seguro </w:t>
      </w:r>
    </w:p>
    <w:p w14:paraId="00EEA7B1" w14:textId="77777777" w:rsidR="0052621E" w:rsidRPr="00BA3A0C" w:rsidRDefault="0052621E" w:rsidP="0055577B">
      <w:pPr>
        <w:spacing w:line="230" w:lineRule="exact"/>
        <w:rPr>
          <w:lang w:val="es-ES_tradnl"/>
        </w:rPr>
      </w:pPr>
    </w:p>
    <w:p w14:paraId="5EA3EEAA" w14:textId="4D9C58F7" w:rsidR="0052621E" w:rsidRPr="00BA3A0C" w:rsidRDefault="0052621E" w:rsidP="0055577B">
      <w:pPr>
        <w:spacing w:line="230" w:lineRule="exact"/>
        <w:jc w:val="left"/>
        <w:rPr>
          <w:lang w:val="es-ES_tradnl"/>
        </w:rPr>
      </w:pPr>
      <w:r w:rsidRPr="00BA3A0C">
        <w:rPr>
          <w:lang w:val="es-ES_tradnl"/>
        </w:rPr>
        <w:t>Cabe señalar que la asignación real de fondos por área temática se determinará en el instrumento contractual celebrado entre la UPU y el operador designado participante.</w:t>
      </w:r>
    </w:p>
    <w:p w14:paraId="5207E6E5" w14:textId="77777777" w:rsidR="0052621E" w:rsidRDefault="0052621E" w:rsidP="0055577B">
      <w:pPr>
        <w:spacing w:line="230" w:lineRule="exact"/>
        <w:rPr>
          <w:lang w:val="es-ES_tradnl"/>
        </w:rPr>
      </w:pPr>
    </w:p>
    <w:p w14:paraId="4588C864" w14:textId="77777777" w:rsidR="00EE6020" w:rsidRPr="00BA3A0C" w:rsidRDefault="00EE6020" w:rsidP="0055577B">
      <w:pPr>
        <w:spacing w:line="230" w:lineRule="exact"/>
        <w:rPr>
          <w:lang w:val="es-ES_tradnl"/>
        </w:rPr>
      </w:pPr>
    </w:p>
    <w:p w14:paraId="1431BD28" w14:textId="77777777" w:rsidR="0052621E" w:rsidRPr="00BA3A0C" w:rsidRDefault="0052621E" w:rsidP="0055577B">
      <w:pPr>
        <w:pageBreakBefore/>
        <w:spacing w:line="240" w:lineRule="exact"/>
        <w:rPr>
          <w:b/>
          <w:bCs/>
          <w:lang w:val="es-ES_tradnl"/>
        </w:rPr>
      </w:pPr>
      <w:r w:rsidRPr="00BA3A0C">
        <w:rPr>
          <w:b/>
          <w:lang w:val="es-ES_tradnl"/>
        </w:rPr>
        <w:lastRenderedPageBreak/>
        <w:t>5.</w:t>
      </w:r>
      <w:r w:rsidRPr="00BA3A0C">
        <w:rPr>
          <w:b/>
          <w:lang w:val="es-ES_tradnl"/>
        </w:rPr>
        <w:tab/>
        <w:t>Procedimiento de solicitud</w:t>
      </w:r>
    </w:p>
    <w:p w14:paraId="53325277" w14:textId="77777777" w:rsidR="0052621E" w:rsidRPr="00BA3A0C" w:rsidRDefault="0052621E" w:rsidP="0052621E">
      <w:pPr>
        <w:spacing w:line="240" w:lineRule="exact"/>
        <w:rPr>
          <w:lang w:val="es-ES_tradnl"/>
        </w:rPr>
      </w:pP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52621E" w:rsidRPr="00BA3A0C" w14:paraId="3768F5B2" w14:textId="77777777" w:rsidTr="00B15C15">
        <w:tc>
          <w:tcPr>
            <w:tcW w:w="426" w:type="dxa"/>
          </w:tcPr>
          <w:p w14:paraId="4C927C24" w14:textId="4FBC40BD" w:rsidR="0052621E" w:rsidRPr="00BA3A0C" w:rsidRDefault="00F651E5" w:rsidP="0052621E">
            <w:pPr>
              <w:autoSpaceDE w:val="0"/>
              <w:autoSpaceDN w:val="0"/>
              <w:adjustRightInd w:val="0"/>
              <w:spacing w:line="240" w:lineRule="exact"/>
              <w:rPr>
                <w:rFonts w:cs="Arial"/>
                <w:spacing w:val="3"/>
                <w:lang w:val="es-ES_tradnl"/>
              </w:rPr>
            </w:pPr>
            <w:r w:rsidRPr="00BA3A0C">
              <w:rPr>
                <w:rFonts w:cs="Arial"/>
                <w:spacing w:val="3"/>
                <w:lang w:val="es-ES_tradnl"/>
              </w:rPr>
              <w:t>/</w:t>
            </w:r>
          </w:p>
        </w:tc>
        <w:tc>
          <w:tcPr>
            <w:tcW w:w="9639" w:type="dxa"/>
          </w:tcPr>
          <w:p w14:paraId="0B758B2D" w14:textId="2A220544" w:rsidR="0052621E" w:rsidRPr="00BA3A0C" w:rsidRDefault="0052621E" w:rsidP="0052621E">
            <w:pPr>
              <w:spacing w:line="240" w:lineRule="exact"/>
              <w:rPr>
                <w:lang w:val="es-ES_tradnl"/>
              </w:rPr>
            </w:pPr>
            <w:r w:rsidRPr="00BA3A0C">
              <w:rPr>
                <w:lang w:val="es-ES_tradnl"/>
              </w:rPr>
              <w:t xml:space="preserve">Todas las propuestas de proyecto deben seguir el modelo que se presenta en el anexo 1. </w:t>
            </w:r>
          </w:p>
        </w:tc>
      </w:tr>
    </w:tbl>
    <w:p w14:paraId="50A677EB" w14:textId="77777777" w:rsidR="0052621E" w:rsidRDefault="0052621E" w:rsidP="0052621E">
      <w:pPr>
        <w:spacing w:line="240" w:lineRule="exact"/>
        <w:rPr>
          <w:lang w:val="es-ES_tradnl"/>
        </w:rPr>
      </w:pPr>
    </w:p>
    <w:p w14:paraId="691F5640" w14:textId="5DD5012D" w:rsidR="0052261F" w:rsidRPr="00BA3A0C" w:rsidRDefault="0052261F" w:rsidP="0052261F">
      <w:pPr>
        <w:spacing w:line="240" w:lineRule="exact"/>
        <w:rPr>
          <w:lang w:val="es-ES_tradnl"/>
        </w:rPr>
      </w:pPr>
      <w:r w:rsidRPr="00BA3A0C">
        <w:rPr>
          <w:lang w:val="es-ES_tradnl"/>
        </w:rPr>
        <w:t>El modelo también puede descargarse de la página https://www.upu.int/en/universal-postal-union/activities/</w:t>
      </w:r>
      <w:r w:rsidR="003A5A5A">
        <w:rPr>
          <w:lang w:val="es-ES_tradnl"/>
        </w:rPr>
        <w:br/>
      </w:r>
      <w:proofErr w:type="spellStart"/>
      <w:r w:rsidRPr="00BA3A0C">
        <w:rPr>
          <w:lang w:val="es-ES_tradnl"/>
        </w:rPr>
        <w:t>financial-services#financial-inclusion</w:t>
      </w:r>
      <w:proofErr w:type="spellEnd"/>
    </w:p>
    <w:p w14:paraId="723CB53B" w14:textId="77777777" w:rsidR="0052261F" w:rsidRPr="00BA3A0C" w:rsidRDefault="0052261F" w:rsidP="0052261F">
      <w:pPr>
        <w:spacing w:line="240" w:lineRule="exact"/>
        <w:rPr>
          <w:lang w:val="es-ES_tradnl"/>
        </w:rPr>
      </w:pPr>
    </w:p>
    <w:p w14:paraId="49272EE7" w14:textId="1E018C6D" w:rsidR="0052261F" w:rsidRDefault="0052261F" w:rsidP="0052261F">
      <w:pPr>
        <w:spacing w:line="240" w:lineRule="exact"/>
        <w:rPr>
          <w:lang w:val="es-ES_tradnl"/>
        </w:rPr>
      </w:pPr>
      <w:r w:rsidRPr="00BA3A0C">
        <w:rPr>
          <w:lang w:val="es-ES_tradnl"/>
        </w:rPr>
        <w:t xml:space="preserve">También puede solicitarse por correo electrónico a la dirección </w:t>
      </w:r>
      <w:hyperlink r:id="rId15" w:history="1">
        <w:r w:rsidRPr="00140BD8">
          <w:rPr>
            <w:lang w:val="es-ES_tradnl"/>
          </w:rPr>
          <w:t>PITAF@upu.int</w:t>
        </w:r>
      </w:hyperlink>
      <w:r w:rsidRPr="00BA3A0C">
        <w:rPr>
          <w:lang w:val="es-ES_tradnl"/>
        </w:rPr>
        <w:t>.</w:t>
      </w:r>
    </w:p>
    <w:p w14:paraId="37E7A4D6" w14:textId="77777777" w:rsidR="0052261F" w:rsidRPr="00BA3A0C" w:rsidRDefault="0052261F" w:rsidP="0052621E">
      <w:pPr>
        <w:spacing w:line="240" w:lineRule="exact"/>
        <w:rPr>
          <w:lang w:val="es-ES_tradnl"/>
        </w:rPr>
      </w:pPr>
    </w:p>
    <w:p w14:paraId="1D534C70" w14:textId="77777777" w:rsidR="0052621E" w:rsidRPr="00BA3A0C" w:rsidRDefault="0052621E" w:rsidP="0052621E">
      <w:pPr>
        <w:spacing w:line="240" w:lineRule="exact"/>
        <w:rPr>
          <w:lang w:val="es-ES_tradnl"/>
        </w:rPr>
      </w:pPr>
      <w:r w:rsidRPr="00BA3A0C">
        <w:rPr>
          <w:lang w:val="es-ES_tradnl"/>
        </w:rPr>
        <w:t>Las solicitudes deben incluir los siguientes documentos en formato PDF:</w:t>
      </w:r>
    </w:p>
    <w:tbl>
      <w:tblPr>
        <w:tblW w:w="10065" w:type="dxa"/>
        <w:tblInd w:w="-426" w:type="dxa"/>
        <w:tblBorders>
          <w:insideH w:val="single" w:sz="4" w:space="0" w:color="auto"/>
        </w:tblBorders>
        <w:tblLayout w:type="fixed"/>
        <w:tblCellMar>
          <w:left w:w="0" w:type="dxa"/>
          <w:right w:w="0" w:type="dxa"/>
        </w:tblCellMar>
        <w:tblLook w:val="0000" w:firstRow="0" w:lastRow="0" w:firstColumn="0" w:lastColumn="0" w:noHBand="0" w:noVBand="0"/>
      </w:tblPr>
      <w:tblGrid>
        <w:gridCol w:w="426"/>
        <w:gridCol w:w="9639"/>
      </w:tblGrid>
      <w:tr w:rsidR="0052621E" w:rsidRPr="00BA3A0C" w14:paraId="0B57F3B8" w14:textId="77777777" w:rsidTr="00B15C15">
        <w:tc>
          <w:tcPr>
            <w:tcW w:w="426" w:type="dxa"/>
          </w:tcPr>
          <w:p w14:paraId="1FA824E7" w14:textId="040C6E74" w:rsidR="0052621E" w:rsidRPr="00BA3A0C" w:rsidRDefault="0052621E" w:rsidP="0052621E">
            <w:pPr>
              <w:autoSpaceDE w:val="0"/>
              <w:autoSpaceDN w:val="0"/>
              <w:adjustRightInd w:val="0"/>
              <w:spacing w:before="120" w:line="240" w:lineRule="exact"/>
              <w:rPr>
                <w:rFonts w:cs="Arial"/>
                <w:spacing w:val="3"/>
                <w:lang w:val="es-ES_tradnl"/>
              </w:rPr>
            </w:pPr>
          </w:p>
          <w:p w14:paraId="109C7EF3" w14:textId="3A7DEC60" w:rsidR="0052621E" w:rsidRPr="00BA3A0C" w:rsidRDefault="00364A6D" w:rsidP="0052621E">
            <w:pPr>
              <w:autoSpaceDE w:val="0"/>
              <w:autoSpaceDN w:val="0"/>
              <w:adjustRightInd w:val="0"/>
              <w:spacing w:before="120" w:line="240" w:lineRule="exact"/>
              <w:rPr>
                <w:rFonts w:cs="Arial"/>
                <w:spacing w:val="3"/>
                <w:lang w:val="es-ES_tradnl"/>
              </w:rPr>
            </w:pPr>
            <w:r w:rsidRPr="00BA3A0C">
              <w:rPr>
                <w:rFonts w:cs="Arial"/>
                <w:spacing w:val="3"/>
                <w:lang w:val="es-ES_tradnl"/>
              </w:rPr>
              <w:t>/</w:t>
            </w:r>
          </w:p>
        </w:tc>
        <w:tc>
          <w:tcPr>
            <w:tcW w:w="9639" w:type="dxa"/>
          </w:tcPr>
          <w:p w14:paraId="5EBED943" w14:textId="60BFE7D5" w:rsidR="0052621E" w:rsidRPr="00BA3A0C" w:rsidRDefault="00364A6D" w:rsidP="0052621E">
            <w:pPr>
              <w:tabs>
                <w:tab w:val="num" w:pos="567"/>
              </w:tabs>
              <w:spacing w:before="120" w:line="240" w:lineRule="exact"/>
              <w:ind w:left="567" w:hanging="567"/>
              <w:rPr>
                <w:lang w:val="es-ES_tradnl"/>
              </w:rPr>
            </w:pPr>
            <w:r w:rsidRPr="00BA3A0C">
              <w:rPr>
                <w:lang w:val="es-ES_tradnl"/>
              </w:rPr>
              <w:t>–</w:t>
            </w:r>
            <w:r w:rsidRPr="00BA3A0C">
              <w:rPr>
                <w:lang w:val="es-ES_tradnl"/>
              </w:rPr>
              <w:tab/>
            </w:r>
            <w:r w:rsidR="0052621E" w:rsidRPr="00BA3A0C">
              <w:rPr>
                <w:lang w:val="es-ES_tradnl"/>
              </w:rPr>
              <w:t>Formulario de propuesta de proyecto (anexo 1).</w:t>
            </w:r>
          </w:p>
          <w:p w14:paraId="5AA1C6E4" w14:textId="22B1CF5D" w:rsidR="0052621E" w:rsidRPr="00BA3A0C" w:rsidRDefault="00364A6D" w:rsidP="0052621E">
            <w:pPr>
              <w:tabs>
                <w:tab w:val="num" w:pos="567"/>
              </w:tabs>
              <w:spacing w:before="120" w:line="240" w:lineRule="exact"/>
              <w:ind w:left="567" w:hanging="567"/>
              <w:rPr>
                <w:lang w:val="es-ES_tradnl"/>
              </w:rPr>
            </w:pPr>
            <w:r w:rsidRPr="00BA3A0C">
              <w:rPr>
                <w:lang w:val="es-ES_tradnl"/>
              </w:rPr>
              <w:t>–</w:t>
            </w:r>
            <w:r w:rsidRPr="00BA3A0C">
              <w:rPr>
                <w:lang w:val="es-ES_tradnl"/>
              </w:rPr>
              <w:tab/>
            </w:r>
            <w:r w:rsidR="0052621E" w:rsidRPr="00BA3A0C">
              <w:rPr>
                <w:lang w:val="es-ES_tradnl"/>
              </w:rPr>
              <w:t>Formulario de presupuesto del proyecto (anexo 2).</w:t>
            </w:r>
          </w:p>
        </w:tc>
      </w:tr>
    </w:tbl>
    <w:p w14:paraId="482D99FB" w14:textId="77777777" w:rsidR="0052621E" w:rsidRPr="00BA3A0C" w:rsidRDefault="0052621E" w:rsidP="0052621E">
      <w:pPr>
        <w:spacing w:line="240" w:lineRule="exact"/>
        <w:rPr>
          <w:lang w:val="es-ES_tradnl"/>
        </w:rPr>
      </w:pPr>
    </w:p>
    <w:p w14:paraId="18791E9C" w14:textId="77777777" w:rsidR="0052621E" w:rsidRPr="00BA3A0C" w:rsidRDefault="0052621E" w:rsidP="0052621E">
      <w:pPr>
        <w:spacing w:line="240" w:lineRule="exact"/>
        <w:rPr>
          <w:lang w:val="es-ES_tradnl"/>
        </w:rPr>
      </w:pPr>
    </w:p>
    <w:p w14:paraId="7997F3C7" w14:textId="03000280" w:rsidR="0052621E" w:rsidRPr="00BA3A0C" w:rsidRDefault="0052621E" w:rsidP="0052621E">
      <w:pPr>
        <w:spacing w:line="240" w:lineRule="exact"/>
        <w:rPr>
          <w:lang w:val="es-ES_tradnl"/>
        </w:rPr>
      </w:pPr>
      <w:r w:rsidRPr="00BA3A0C">
        <w:rPr>
          <w:lang w:val="es-ES_tradnl"/>
        </w:rPr>
        <w:t>Las solicitudes deben presentarse en francés o inglés (las dos lenguas de trabajo de la Oficina Internacional</w:t>
      </w:r>
      <w:r w:rsidR="00F651E5" w:rsidRPr="00BA3A0C">
        <w:rPr>
          <w:lang w:val="es-ES_tradnl"/>
        </w:rPr>
        <w:t xml:space="preserve"> de la UPU</w:t>
      </w:r>
      <w:r w:rsidRPr="00BA3A0C">
        <w:rPr>
          <w:lang w:val="es-ES_tradnl"/>
        </w:rPr>
        <w:t>).</w:t>
      </w:r>
    </w:p>
    <w:p w14:paraId="55700078" w14:textId="77777777" w:rsidR="0052621E" w:rsidRPr="00BA3A0C" w:rsidRDefault="0052621E" w:rsidP="0052621E">
      <w:pPr>
        <w:spacing w:line="240" w:lineRule="exact"/>
        <w:rPr>
          <w:lang w:val="es-ES_tradnl"/>
        </w:rPr>
      </w:pPr>
    </w:p>
    <w:p w14:paraId="44CEDA14" w14:textId="23A804E8" w:rsidR="0052621E" w:rsidRPr="00BA3A0C" w:rsidRDefault="0052621E" w:rsidP="0052621E">
      <w:pPr>
        <w:spacing w:line="240" w:lineRule="exact"/>
        <w:rPr>
          <w:lang w:val="es-ES_tradnl"/>
        </w:rPr>
      </w:pPr>
      <w:r w:rsidRPr="00BA3A0C">
        <w:rPr>
          <w:lang w:val="es-ES_tradnl"/>
        </w:rPr>
        <w:t xml:space="preserve">Las solicitudes deben enviarse por vía electrónica a la dirección </w:t>
      </w:r>
      <w:hyperlink r:id="rId16" w:history="1">
        <w:r w:rsidR="00140BD8" w:rsidRPr="00140BD8">
          <w:rPr>
            <w:lang w:val="es-ES_tradnl"/>
          </w:rPr>
          <w:t>PITAF@upu.int</w:t>
        </w:r>
      </w:hyperlink>
      <w:r w:rsidRPr="00BA3A0C">
        <w:rPr>
          <w:lang w:val="es-ES_tradnl"/>
        </w:rPr>
        <w:t xml:space="preserve"> </w:t>
      </w:r>
      <w:r w:rsidRPr="00BA3A0C">
        <w:rPr>
          <w:b/>
          <w:bCs/>
          <w:lang w:val="es-ES_tradnl"/>
        </w:rPr>
        <w:t>antes del 29 de agosto de</w:t>
      </w:r>
      <w:r w:rsidR="006C73CE">
        <w:rPr>
          <w:b/>
          <w:bCs/>
          <w:lang w:val="es-ES_tradnl"/>
        </w:rPr>
        <w:t> </w:t>
      </w:r>
      <w:r w:rsidRPr="00BA3A0C">
        <w:rPr>
          <w:b/>
          <w:bCs/>
          <w:lang w:val="es-ES_tradnl"/>
        </w:rPr>
        <w:t>2025</w:t>
      </w:r>
      <w:r w:rsidRPr="00BA3A0C">
        <w:rPr>
          <w:lang w:val="es-ES_tradnl"/>
        </w:rPr>
        <w:t xml:space="preserve">. </w:t>
      </w:r>
    </w:p>
    <w:p w14:paraId="4E910CFA" w14:textId="77777777" w:rsidR="0052621E" w:rsidRPr="00BA3A0C" w:rsidRDefault="0052621E" w:rsidP="0052621E">
      <w:pPr>
        <w:spacing w:line="240" w:lineRule="exact"/>
        <w:rPr>
          <w:lang w:val="es-ES_tradnl"/>
        </w:rPr>
      </w:pPr>
    </w:p>
    <w:p w14:paraId="2DABB940" w14:textId="77777777" w:rsidR="0052621E" w:rsidRPr="00BA3A0C" w:rsidRDefault="0052621E" w:rsidP="0052621E">
      <w:pPr>
        <w:spacing w:line="240" w:lineRule="exact"/>
        <w:rPr>
          <w:lang w:val="es-ES_tradnl"/>
        </w:rPr>
      </w:pPr>
      <w:r w:rsidRPr="00BA3A0C">
        <w:rPr>
          <w:lang w:val="es-ES_tradnl"/>
        </w:rPr>
        <w:t>Las solicitudes que no cumplan con las exigencias mencionadas no se tomarán en cuenta.</w:t>
      </w:r>
    </w:p>
    <w:p w14:paraId="2FEE8B57" w14:textId="77777777" w:rsidR="0052621E" w:rsidRPr="00BA3A0C" w:rsidRDefault="0052621E" w:rsidP="0052621E">
      <w:pPr>
        <w:spacing w:line="240" w:lineRule="exact"/>
        <w:rPr>
          <w:lang w:val="es-ES_tradnl"/>
        </w:rPr>
      </w:pPr>
    </w:p>
    <w:p w14:paraId="6D646032" w14:textId="50CBB800" w:rsidR="0052621E" w:rsidRPr="00BA3A0C" w:rsidRDefault="0052621E" w:rsidP="0052621E">
      <w:pPr>
        <w:spacing w:line="240" w:lineRule="exact"/>
        <w:rPr>
          <w:lang w:val="es-ES_tradnl"/>
        </w:rPr>
      </w:pPr>
      <w:r w:rsidRPr="00BA3A0C">
        <w:rPr>
          <w:lang w:val="es-ES_tradnl"/>
        </w:rPr>
        <w:t xml:space="preserve">Contacto: </w:t>
      </w:r>
      <w:hyperlink r:id="rId17" w:history="1">
        <w:r w:rsidR="00140BD8" w:rsidRPr="00140BD8">
          <w:rPr>
            <w:lang w:val="es-ES_tradnl"/>
          </w:rPr>
          <w:t>PITAF@upu.int</w:t>
        </w:r>
      </w:hyperlink>
    </w:p>
    <w:p w14:paraId="7360C62B" w14:textId="77777777" w:rsidR="00282FAD" w:rsidRPr="00BA3A0C" w:rsidRDefault="00282FAD" w:rsidP="006B2370">
      <w:pPr>
        <w:pStyle w:val="Datesignature"/>
        <w:spacing w:line="240" w:lineRule="exact"/>
        <w:rPr>
          <w:noProof w:val="0"/>
          <w:lang w:val="es-ES_tradnl"/>
        </w:rPr>
      </w:pPr>
    </w:p>
    <w:sectPr w:rsidR="00282FAD" w:rsidRPr="00BA3A0C" w:rsidSect="00E04D2B">
      <w:headerReference w:type="even" r:id="rId18"/>
      <w:headerReference w:type="default" r:id="rId19"/>
      <w:headerReference w:type="first" r:id="rId20"/>
      <w:footerReference w:type="first" r:id="rId21"/>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215F8" w14:textId="77777777" w:rsidR="005C3EB7" w:rsidRDefault="005C3EB7">
      <w:pPr>
        <w:spacing w:after="120"/>
        <w:rPr>
          <w:sz w:val="18"/>
        </w:rPr>
      </w:pPr>
      <w:r>
        <w:rPr>
          <w:sz w:val="18"/>
        </w:rPr>
        <w:t>____________</w:t>
      </w:r>
    </w:p>
  </w:endnote>
  <w:endnote w:type="continuationSeparator" w:id="0">
    <w:p w14:paraId="533D4D50" w14:textId="77777777" w:rsidR="005C3EB7" w:rsidRDefault="005C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45 Helvetica Ligh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B69E" w14:textId="4C37FB90" w:rsidR="0052621E" w:rsidRPr="0052621E" w:rsidRDefault="0052621E">
    <w:pPr>
      <w:pStyle w:val="Footer"/>
      <w:rPr>
        <w:vanish/>
      </w:rPr>
    </w:pPr>
    <w:r>
      <w:rPr>
        <w:vanish/>
        <w:lang w:val="es-ES"/>
      </w:rPr>
      <w:t>Idr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A65" w14:textId="6B20FEC2" w:rsidR="00282FAD" w:rsidRPr="0052621E" w:rsidRDefault="00282FAD" w:rsidP="00526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4180" w14:textId="77777777" w:rsidR="005C3EB7" w:rsidRDefault="005C3EB7" w:rsidP="009E7ADC">
      <w:pPr>
        <w:rPr>
          <w:sz w:val="18"/>
        </w:rPr>
      </w:pPr>
    </w:p>
  </w:footnote>
  <w:footnote w:type="continuationSeparator" w:id="0">
    <w:p w14:paraId="2720A1CE" w14:textId="77777777" w:rsidR="005C3EB7" w:rsidRPr="00252BCD" w:rsidRDefault="005C3EB7" w:rsidP="009E7ADC">
      <w:pPr>
        <w:rPr>
          <w:sz w:val="18"/>
          <w:szCs w:val="18"/>
        </w:rPr>
      </w:pPr>
    </w:p>
  </w:footnote>
  <w:footnote w:type="continuationNotice" w:id="1">
    <w:p w14:paraId="61BACEB9" w14:textId="77777777" w:rsidR="005C3EB7" w:rsidRPr="00252BCD" w:rsidRDefault="005C3EB7"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4F7" w14:textId="77777777" w:rsidR="0052621E" w:rsidRPr="00AC6631" w:rsidRDefault="0052621E">
    <w:pPr>
      <w:jc w:val="center"/>
      <w:rPr>
        <w:rFonts w:cs="Arial"/>
      </w:rPr>
    </w:pPr>
    <w:r w:rsidRPr="00AC6631">
      <w:rPr>
        <w:rFonts w:cs="Arial"/>
      </w:rPr>
      <w:pgNum/>
    </w:r>
  </w:p>
  <w:p w14:paraId="172199AA" w14:textId="77777777" w:rsidR="0052621E" w:rsidRPr="00AC6631" w:rsidRDefault="0052621E" w:rsidP="00026867">
    <w:pPr>
      <w:tabs>
        <w:tab w:val="center" w:pos="3969"/>
      </w:tabs>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52621E" w:rsidRPr="0049228C" w14:paraId="6AFD94F4" w14:textId="77777777" w:rsidTr="00D65600">
      <w:trPr>
        <w:trHeight w:val="1418"/>
      </w:trPr>
      <w:tc>
        <w:tcPr>
          <w:tcW w:w="3119" w:type="dxa"/>
        </w:tcPr>
        <w:p w14:paraId="434B4EB3" w14:textId="2D3F9EB8" w:rsidR="0052621E" w:rsidRPr="0049228C" w:rsidRDefault="008F4877" w:rsidP="0049228C">
          <w:pPr>
            <w:tabs>
              <w:tab w:val="center" w:pos="4536"/>
              <w:tab w:val="right" w:pos="9072"/>
            </w:tabs>
            <w:spacing w:before="20" w:after="1180" w:line="240" w:lineRule="atLeast"/>
            <w:rPr>
              <w:rFonts w:ascii="45 Helvetica Light" w:hAnsi="45 Helvetica Light" w:cs="Arial"/>
              <w:sz w:val="18"/>
            </w:rPr>
          </w:pPr>
          <w:r>
            <w:rPr>
              <w:rFonts w:ascii="45 Helvetica Light" w:hAnsi="45 Helvetica Light"/>
              <w:noProof/>
              <w:sz w:val="18"/>
            </w:rPr>
            <w:drawing>
              <wp:inline distT="0" distB="0" distL="0" distR="0" wp14:anchorId="7CB8C651" wp14:editId="579D0A95">
                <wp:extent cx="1555607" cy="421485"/>
                <wp:effectExtent l="0" t="0" r="6985" b="0"/>
                <wp:docPr id="127948699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6520" w:type="dxa"/>
        </w:tcPr>
        <w:p w14:paraId="3B16F96D" w14:textId="77777777" w:rsidR="0052621E" w:rsidRDefault="0052621E" w:rsidP="00E240DE">
          <w:pPr>
            <w:autoSpaceDE w:val="0"/>
            <w:autoSpaceDN w:val="0"/>
            <w:adjustRightInd w:val="0"/>
            <w:ind w:right="8"/>
            <w:jc w:val="right"/>
            <w:rPr>
              <w:rFonts w:cs="Arial"/>
              <w:b/>
              <w:bCs/>
            </w:rPr>
          </w:pPr>
          <w:r>
            <w:rPr>
              <w:b/>
            </w:rPr>
            <w:t xml:space="preserve">Programa PITAF </w:t>
          </w:r>
        </w:p>
        <w:p w14:paraId="7B6BA09D" w14:textId="77777777" w:rsidR="0052621E" w:rsidRPr="00FD751B" w:rsidRDefault="0052621E" w:rsidP="00E240DE">
          <w:pPr>
            <w:autoSpaceDE w:val="0"/>
            <w:autoSpaceDN w:val="0"/>
            <w:adjustRightInd w:val="0"/>
            <w:ind w:right="8"/>
            <w:jc w:val="right"/>
            <w:rPr>
              <w:rFonts w:cs="Arial"/>
              <w:b/>
              <w:bCs/>
            </w:rPr>
          </w:pPr>
          <w:r>
            <w:rPr>
              <w:b/>
            </w:rPr>
            <w:t>Convocatoria de proyectos</w:t>
          </w:r>
        </w:p>
      </w:tc>
    </w:tr>
  </w:tbl>
  <w:p w14:paraId="1D484077" w14:textId="77777777" w:rsidR="0052621E" w:rsidRPr="004C300E" w:rsidRDefault="0052621E" w:rsidP="004C300E">
    <w:pPr>
      <w:spacing w:line="20"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8C69" w14:textId="6882BD99" w:rsidR="00527FF5" w:rsidRDefault="00527FF5">
    <w:pPr>
      <w:jc w:val="center"/>
    </w:pPr>
    <w:r>
      <w:pgNum/>
    </w:r>
  </w:p>
  <w:p w14:paraId="000D7BCE" w14:textId="77777777" w:rsidR="00527FF5" w:rsidRDefault="00527FF5">
    <w:pPr>
      <w:tabs>
        <w:tab w:val="center" w:pos="396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476A" w14:textId="6E4502A1" w:rsidR="00527FF5" w:rsidRDefault="00527FF5" w:rsidP="00F639BA">
    <w:pPr>
      <w:jc w:val="center"/>
    </w:pPr>
    <w:r>
      <w:pgNum/>
    </w:r>
  </w:p>
  <w:p w14:paraId="4A3E6DB9" w14:textId="77777777" w:rsidR="00527FF5" w:rsidRDefault="00527FF5" w:rsidP="00F639BA">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C741" w14:textId="77777777" w:rsidR="00A34208" w:rsidRDefault="00A34208" w:rsidP="00A34208">
    <w:pPr>
      <w:pStyle w:val="Header"/>
      <w:jc w:val="center"/>
    </w:pPr>
    <w:r>
      <w:fldChar w:fldCharType="begin"/>
    </w:r>
    <w:r>
      <w:instrText>PAGE   \* MERGEFORMAT</w:instrText>
    </w:r>
    <w:r>
      <w:fldChar w:fldCharType="separate"/>
    </w:r>
    <w:r>
      <w:t>2</w:t>
    </w:r>
    <w:r>
      <w:fldChar w:fldCharType="end"/>
    </w:r>
  </w:p>
  <w:p w14:paraId="624BB844" w14:textId="77777777" w:rsidR="00A34208" w:rsidRPr="0091765D" w:rsidRDefault="00A34208" w:rsidP="00A34208">
    <w:pPr>
      <w:pStyle w:val="Header"/>
    </w:pPr>
  </w:p>
  <w:p w14:paraId="6B15B0E8" w14:textId="77777777" w:rsidR="003104EA" w:rsidRPr="00135C68"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55F1"/>
    <w:multiLevelType w:val="singleLevel"/>
    <w:tmpl w:val="3314FBC6"/>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B1EC2630"/>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1E1A08DF"/>
    <w:multiLevelType w:val="hybridMultilevel"/>
    <w:tmpl w:val="9384CF02"/>
    <w:lvl w:ilvl="0" w:tplc="98CA23C4">
      <w:numFmt w:val="bullet"/>
      <w:lvlText w:val="–"/>
      <w:lvlJc w:val="left"/>
      <w:pPr>
        <w:ind w:left="927" w:hanging="360"/>
      </w:pPr>
      <w:rPr>
        <w:rFonts w:ascii="Arial" w:eastAsia="Times New Roman" w:hAnsi="Arial" w:cs="Arial" w:hint="default"/>
      </w:rPr>
    </w:lvl>
    <w:lvl w:ilvl="1" w:tplc="380A0003" w:tentative="1">
      <w:start w:val="1"/>
      <w:numFmt w:val="bullet"/>
      <w:lvlText w:val="o"/>
      <w:lvlJc w:val="left"/>
      <w:pPr>
        <w:ind w:left="1647" w:hanging="360"/>
      </w:pPr>
      <w:rPr>
        <w:rFonts w:ascii="Courier New" w:hAnsi="Courier New" w:cs="Courier New" w:hint="default"/>
      </w:rPr>
    </w:lvl>
    <w:lvl w:ilvl="2" w:tplc="380A0005" w:tentative="1">
      <w:start w:val="1"/>
      <w:numFmt w:val="bullet"/>
      <w:lvlText w:val=""/>
      <w:lvlJc w:val="left"/>
      <w:pPr>
        <w:ind w:left="2367" w:hanging="360"/>
      </w:pPr>
      <w:rPr>
        <w:rFonts w:ascii="Wingdings" w:hAnsi="Wingdings" w:hint="default"/>
      </w:rPr>
    </w:lvl>
    <w:lvl w:ilvl="3" w:tplc="380A0001" w:tentative="1">
      <w:start w:val="1"/>
      <w:numFmt w:val="bullet"/>
      <w:lvlText w:val=""/>
      <w:lvlJc w:val="left"/>
      <w:pPr>
        <w:ind w:left="3087" w:hanging="360"/>
      </w:pPr>
      <w:rPr>
        <w:rFonts w:ascii="Symbol" w:hAnsi="Symbol" w:hint="default"/>
      </w:rPr>
    </w:lvl>
    <w:lvl w:ilvl="4" w:tplc="380A0003" w:tentative="1">
      <w:start w:val="1"/>
      <w:numFmt w:val="bullet"/>
      <w:lvlText w:val="o"/>
      <w:lvlJc w:val="left"/>
      <w:pPr>
        <w:ind w:left="3807" w:hanging="360"/>
      </w:pPr>
      <w:rPr>
        <w:rFonts w:ascii="Courier New" w:hAnsi="Courier New" w:cs="Courier New" w:hint="default"/>
      </w:rPr>
    </w:lvl>
    <w:lvl w:ilvl="5" w:tplc="380A0005" w:tentative="1">
      <w:start w:val="1"/>
      <w:numFmt w:val="bullet"/>
      <w:lvlText w:val=""/>
      <w:lvlJc w:val="left"/>
      <w:pPr>
        <w:ind w:left="4527" w:hanging="360"/>
      </w:pPr>
      <w:rPr>
        <w:rFonts w:ascii="Wingdings" w:hAnsi="Wingdings" w:hint="default"/>
      </w:rPr>
    </w:lvl>
    <w:lvl w:ilvl="6" w:tplc="380A0001" w:tentative="1">
      <w:start w:val="1"/>
      <w:numFmt w:val="bullet"/>
      <w:lvlText w:val=""/>
      <w:lvlJc w:val="left"/>
      <w:pPr>
        <w:ind w:left="5247" w:hanging="360"/>
      </w:pPr>
      <w:rPr>
        <w:rFonts w:ascii="Symbol" w:hAnsi="Symbol" w:hint="default"/>
      </w:rPr>
    </w:lvl>
    <w:lvl w:ilvl="7" w:tplc="380A0003" w:tentative="1">
      <w:start w:val="1"/>
      <w:numFmt w:val="bullet"/>
      <w:lvlText w:val="o"/>
      <w:lvlJc w:val="left"/>
      <w:pPr>
        <w:ind w:left="5967" w:hanging="360"/>
      </w:pPr>
      <w:rPr>
        <w:rFonts w:ascii="Courier New" w:hAnsi="Courier New" w:cs="Courier New" w:hint="default"/>
      </w:rPr>
    </w:lvl>
    <w:lvl w:ilvl="8" w:tplc="380A0005" w:tentative="1">
      <w:start w:val="1"/>
      <w:numFmt w:val="bullet"/>
      <w:lvlText w:val=""/>
      <w:lvlJc w:val="left"/>
      <w:pPr>
        <w:ind w:left="6687" w:hanging="360"/>
      </w:pPr>
      <w:rPr>
        <w:rFonts w:ascii="Wingdings" w:hAnsi="Wingdings" w:hint="default"/>
      </w:rPr>
    </w:lvl>
  </w:abstractNum>
  <w:abstractNum w:abstractNumId="5"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6"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7" w15:restartNumberingAfterBreak="0">
    <w:nsid w:val="2CEB6200"/>
    <w:multiLevelType w:val="hybridMultilevel"/>
    <w:tmpl w:val="D97E6348"/>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8" w15:restartNumberingAfterBreak="0">
    <w:nsid w:val="2E2F7CBD"/>
    <w:multiLevelType w:val="hybridMultilevel"/>
    <w:tmpl w:val="45C6306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45995317"/>
    <w:multiLevelType w:val="hybridMultilevel"/>
    <w:tmpl w:val="D2161EE8"/>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11"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2"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3"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4"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5" w15:restartNumberingAfterBreak="0">
    <w:nsid w:val="60C77F8C"/>
    <w:multiLevelType w:val="hybridMultilevel"/>
    <w:tmpl w:val="F540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B125E"/>
    <w:multiLevelType w:val="singleLevel"/>
    <w:tmpl w:val="B916025C"/>
    <w:lvl w:ilvl="0">
      <w:numFmt w:val="bullet"/>
      <w:lvlText w:val=""/>
      <w:lvlJc w:val="left"/>
      <w:pPr>
        <w:tabs>
          <w:tab w:val="num" w:pos="1134"/>
        </w:tabs>
        <w:ind w:left="1134" w:hanging="567"/>
      </w:pPr>
      <w:rPr>
        <w:rFonts w:ascii="Symbol" w:hAnsi="Symbol" w:hint="default"/>
      </w:rPr>
    </w:lvl>
  </w:abstractNum>
  <w:abstractNum w:abstractNumId="17"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8"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9"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1"/>
  </w:num>
  <w:num w:numId="2">
    <w:abstractNumId w:val="9"/>
  </w:num>
  <w:num w:numId="3">
    <w:abstractNumId w:val="6"/>
  </w:num>
  <w:num w:numId="4">
    <w:abstractNumId w:val="5"/>
  </w:num>
  <w:num w:numId="5">
    <w:abstractNumId w:val="12"/>
  </w:num>
  <w:num w:numId="6">
    <w:abstractNumId w:val="18"/>
  </w:num>
  <w:num w:numId="7">
    <w:abstractNumId w:val="19"/>
  </w:num>
  <w:num w:numId="8">
    <w:abstractNumId w:val="3"/>
  </w:num>
  <w:num w:numId="9">
    <w:abstractNumId w:val="1"/>
  </w:num>
  <w:num w:numId="10">
    <w:abstractNumId w:val="14"/>
  </w:num>
  <w:num w:numId="11">
    <w:abstractNumId w:val="13"/>
  </w:num>
  <w:num w:numId="12">
    <w:abstractNumId w:val="17"/>
  </w:num>
  <w:num w:numId="13">
    <w:abstractNumId w:val="0"/>
  </w:num>
  <w:num w:numId="14">
    <w:abstractNumId w:val="16"/>
  </w:num>
  <w:num w:numId="15">
    <w:abstractNumId w:val="2"/>
  </w:num>
  <w:num w:numId="16">
    <w:abstractNumId w:val="16"/>
  </w:num>
  <w:num w:numId="17">
    <w:abstractNumId w:val="0"/>
  </w:num>
  <w:num w:numId="18">
    <w:abstractNumId w:val="2"/>
  </w:num>
  <w:num w:numId="19">
    <w:abstractNumId w:val="15"/>
  </w:num>
  <w:num w:numId="20">
    <w:abstractNumId w:val="4"/>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C5F"/>
    <w:rsid w:val="000021DD"/>
    <w:rsid w:val="00004D2B"/>
    <w:rsid w:val="0002298F"/>
    <w:rsid w:val="00023669"/>
    <w:rsid w:val="00026EC5"/>
    <w:rsid w:val="000370A1"/>
    <w:rsid w:val="000465C9"/>
    <w:rsid w:val="0005199B"/>
    <w:rsid w:val="000569F6"/>
    <w:rsid w:val="00093AB2"/>
    <w:rsid w:val="000A2610"/>
    <w:rsid w:val="000B24C3"/>
    <w:rsid w:val="000D1BB1"/>
    <w:rsid w:val="000E0AB2"/>
    <w:rsid w:val="000E44BC"/>
    <w:rsid w:val="000F2E1C"/>
    <w:rsid w:val="001006F4"/>
    <w:rsid w:val="00104F21"/>
    <w:rsid w:val="00107E8E"/>
    <w:rsid w:val="0011269C"/>
    <w:rsid w:val="001153B2"/>
    <w:rsid w:val="00121A6F"/>
    <w:rsid w:val="00135C68"/>
    <w:rsid w:val="00140BD8"/>
    <w:rsid w:val="001567C5"/>
    <w:rsid w:val="00161F92"/>
    <w:rsid w:val="0017006D"/>
    <w:rsid w:val="00172757"/>
    <w:rsid w:val="001813EE"/>
    <w:rsid w:val="001A4314"/>
    <w:rsid w:val="001D2A19"/>
    <w:rsid w:val="001F3CE4"/>
    <w:rsid w:val="00211D26"/>
    <w:rsid w:val="00213056"/>
    <w:rsid w:val="00232DCA"/>
    <w:rsid w:val="0024634E"/>
    <w:rsid w:val="00252BCD"/>
    <w:rsid w:val="002570D2"/>
    <w:rsid w:val="00261EAE"/>
    <w:rsid w:val="0026706D"/>
    <w:rsid w:val="00272937"/>
    <w:rsid w:val="0027433F"/>
    <w:rsid w:val="00282124"/>
    <w:rsid w:val="00282FAD"/>
    <w:rsid w:val="0029168C"/>
    <w:rsid w:val="002A3142"/>
    <w:rsid w:val="002A663B"/>
    <w:rsid w:val="002B0A51"/>
    <w:rsid w:val="002B1B7A"/>
    <w:rsid w:val="002B2A67"/>
    <w:rsid w:val="002B66E8"/>
    <w:rsid w:val="002C0746"/>
    <w:rsid w:val="002C3576"/>
    <w:rsid w:val="002F7773"/>
    <w:rsid w:val="003002DC"/>
    <w:rsid w:val="003104EA"/>
    <w:rsid w:val="003118BD"/>
    <w:rsid w:val="00325076"/>
    <w:rsid w:val="00325132"/>
    <w:rsid w:val="00327900"/>
    <w:rsid w:val="00331C6E"/>
    <w:rsid w:val="003405FB"/>
    <w:rsid w:val="003407BC"/>
    <w:rsid w:val="00342CD6"/>
    <w:rsid w:val="00343FF6"/>
    <w:rsid w:val="0035401F"/>
    <w:rsid w:val="00355163"/>
    <w:rsid w:val="00361DE6"/>
    <w:rsid w:val="00364A6D"/>
    <w:rsid w:val="00372B67"/>
    <w:rsid w:val="00373415"/>
    <w:rsid w:val="0037420A"/>
    <w:rsid w:val="003750AE"/>
    <w:rsid w:val="00376861"/>
    <w:rsid w:val="003A5A5A"/>
    <w:rsid w:val="003B1F46"/>
    <w:rsid w:val="003F3D40"/>
    <w:rsid w:val="004208EC"/>
    <w:rsid w:val="00422F57"/>
    <w:rsid w:val="00426819"/>
    <w:rsid w:val="00436DF0"/>
    <w:rsid w:val="00445246"/>
    <w:rsid w:val="00450CCF"/>
    <w:rsid w:val="0046077D"/>
    <w:rsid w:val="004611D5"/>
    <w:rsid w:val="004675F4"/>
    <w:rsid w:val="00471015"/>
    <w:rsid w:val="00471CE5"/>
    <w:rsid w:val="004763D5"/>
    <w:rsid w:val="004A31FB"/>
    <w:rsid w:val="004A5B1C"/>
    <w:rsid w:val="004A6F3C"/>
    <w:rsid w:val="004C4EBF"/>
    <w:rsid w:val="004C5CE6"/>
    <w:rsid w:val="004C6BEE"/>
    <w:rsid w:val="004D03CA"/>
    <w:rsid w:val="004D221E"/>
    <w:rsid w:val="004D2DA6"/>
    <w:rsid w:val="004E05F3"/>
    <w:rsid w:val="004E1F28"/>
    <w:rsid w:val="004E2B3B"/>
    <w:rsid w:val="004E44D9"/>
    <w:rsid w:val="004E63E4"/>
    <w:rsid w:val="0051701F"/>
    <w:rsid w:val="0052261F"/>
    <w:rsid w:val="0052621E"/>
    <w:rsid w:val="00527FF5"/>
    <w:rsid w:val="005345AF"/>
    <w:rsid w:val="00536401"/>
    <w:rsid w:val="00540B77"/>
    <w:rsid w:val="005431A8"/>
    <w:rsid w:val="0055577B"/>
    <w:rsid w:val="00565476"/>
    <w:rsid w:val="00570EDB"/>
    <w:rsid w:val="005749CB"/>
    <w:rsid w:val="00577828"/>
    <w:rsid w:val="00590BBB"/>
    <w:rsid w:val="00595EB7"/>
    <w:rsid w:val="005A1FD5"/>
    <w:rsid w:val="005A4815"/>
    <w:rsid w:val="005A6DC6"/>
    <w:rsid w:val="005B20C7"/>
    <w:rsid w:val="005C24FE"/>
    <w:rsid w:val="005C2838"/>
    <w:rsid w:val="005C3EB7"/>
    <w:rsid w:val="005D36DD"/>
    <w:rsid w:val="005D36F8"/>
    <w:rsid w:val="005D42D7"/>
    <w:rsid w:val="005D7AA9"/>
    <w:rsid w:val="005D7F27"/>
    <w:rsid w:val="005E5DC2"/>
    <w:rsid w:val="005F0892"/>
    <w:rsid w:val="005F4A1C"/>
    <w:rsid w:val="005F5C9B"/>
    <w:rsid w:val="005F7FAB"/>
    <w:rsid w:val="006206CE"/>
    <w:rsid w:val="00635A0F"/>
    <w:rsid w:val="00637585"/>
    <w:rsid w:val="00643F80"/>
    <w:rsid w:val="00652015"/>
    <w:rsid w:val="00653717"/>
    <w:rsid w:val="00653FFD"/>
    <w:rsid w:val="00654B91"/>
    <w:rsid w:val="00656A8B"/>
    <w:rsid w:val="006724B1"/>
    <w:rsid w:val="0067789D"/>
    <w:rsid w:val="00682807"/>
    <w:rsid w:val="00686935"/>
    <w:rsid w:val="006A662B"/>
    <w:rsid w:val="006A79AB"/>
    <w:rsid w:val="006B1882"/>
    <w:rsid w:val="006B1C5F"/>
    <w:rsid w:val="006B2370"/>
    <w:rsid w:val="006C019C"/>
    <w:rsid w:val="006C47EF"/>
    <w:rsid w:val="006C73CE"/>
    <w:rsid w:val="006D5D8D"/>
    <w:rsid w:val="006E36B1"/>
    <w:rsid w:val="006E44DA"/>
    <w:rsid w:val="006E5A09"/>
    <w:rsid w:val="007009D9"/>
    <w:rsid w:val="007031EE"/>
    <w:rsid w:val="00717D08"/>
    <w:rsid w:val="00726F9A"/>
    <w:rsid w:val="00744BCF"/>
    <w:rsid w:val="007533DD"/>
    <w:rsid w:val="00756C4A"/>
    <w:rsid w:val="00757BB9"/>
    <w:rsid w:val="00761DEC"/>
    <w:rsid w:val="0076291C"/>
    <w:rsid w:val="00765B70"/>
    <w:rsid w:val="0077420D"/>
    <w:rsid w:val="00780CBD"/>
    <w:rsid w:val="00783C7C"/>
    <w:rsid w:val="00787E14"/>
    <w:rsid w:val="00790688"/>
    <w:rsid w:val="007944F2"/>
    <w:rsid w:val="007A2839"/>
    <w:rsid w:val="007B1245"/>
    <w:rsid w:val="007B6036"/>
    <w:rsid w:val="007C679A"/>
    <w:rsid w:val="007D07CD"/>
    <w:rsid w:val="007D2933"/>
    <w:rsid w:val="007D6956"/>
    <w:rsid w:val="007E0A42"/>
    <w:rsid w:val="007E6319"/>
    <w:rsid w:val="007F0C61"/>
    <w:rsid w:val="007F6E68"/>
    <w:rsid w:val="00840214"/>
    <w:rsid w:val="00843281"/>
    <w:rsid w:val="00857B50"/>
    <w:rsid w:val="0087570D"/>
    <w:rsid w:val="00884DA4"/>
    <w:rsid w:val="00894502"/>
    <w:rsid w:val="00894CD8"/>
    <w:rsid w:val="00894DA0"/>
    <w:rsid w:val="00897E26"/>
    <w:rsid w:val="008A5A68"/>
    <w:rsid w:val="008B1A61"/>
    <w:rsid w:val="008B7E25"/>
    <w:rsid w:val="008C1401"/>
    <w:rsid w:val="008C6FD6"/>
    <w:rsid w:val="008D3810"/>
    <w:rsid w:val="008D58D7"/>
    <w:rsid w:val="008E54AA"/>
    <w:rsid w:val="008E7619"/>
    <w:rsid w:val="008E7AC4"/>
    <w:rsid w:val="008F12A9"/>
    <w:rsid w:val="008F1500"/>
    <w:rsid w:val="008F4877"/>
    <w:rsid w:val="0091074C"/>
    <w:rsid w:val="00932DC4"/>
    <w:rsid w:val="00942A02"/>
    <w:rsid w:val="009434D3"/>
    <w:rsid w:val="009569DE"/>
    <w:rsid w:val="00957FCD"/>
    <w:rsid w:val="00960C87"/>
    <w:rsid w:val="00974119"/>
    <w:rsid w:val="009B449A"/>
    <w:rsid w:val="009C0330"/>
    <w:rsid w:val="009C13EF"/>
    <w:rsid w:val="009C5280"/>
    <w:rsid w:val="009C5BD0"/>
    <w:rsid w:val="009D6B63"/>
    <w:rsid w:val="009D77AD"/>
    <w:rsid w:val="009D78D1"/>
    <w:rsid w:val="009E7ADC"/>
    <w:rsid w:val="009F110E"/>
    <w:rsid w:val="009F36E2"/>
    <w:rsid w:val="00A06C89"/>
    <w:rsid w:val="00A248D1"/>
    <w:rsid w:val="00A24D01"/>
    <w:rsid w:val="00A26C02"/>
    <w:rsid w:val="00A32365"/>
    <w:rsid w:val="00A34208"/>
    <w:rsid w:val="00A418A0"/>
    <w:rsid w:val="00A455D1"/>
    <w:rsid w:val="00A45897"/>
    <w:rsid w:val="00A53E1E"/>
    <w:rsid w:val="00A5792F"/>
    <w:rsid w:val="00A61B34"/>
    <w:rsid w:val="00A62E9D"/>
    <w:rsid w:val="00A6703E"/>
    <w:rsid w:val="00A73891"/>
    <w:rsid w:val="00A809D7"/>
    <w:rsid w:val="00A90518"/>
    <w:rsid w:val="00A92377"/>
    <w:rsid w:val="00AA01D2"/>
    <w:rsid w:val="00AA61ED"/>
    <w:rsid w:val="00AA7A6C"/>
    <w:rsid w:val="00AB7653"/>
    <w:rsid w:val="00AC2359"/>
    <w:rsid w:val="00AE0D85"/>
    <w:rsid w:val="00AE2BF2"/>
    <w:rsid w:val="00B00E3F"/>
    <w:rsid w:val="00B010D9"/>
    <w:rsid w:val="00B11447"/>
    <w:rsid w:val="00B1711E"/>
    <w:rsid w:val="00B262DA"/>
    <w:rsid w:val="00B30CB2"/>
    <w:rsid w:val="00B40E14"/>
    <w:rsid w:val="00B458DD"/>
    <w:rsid w:val="00B56AF2"/>
    <w:rsid w:val="00B57CD2"/>
    <w:rsid w:val="00B7190D"/>
    <w:rsid w:val="00B743E0"/>
    <w:rsid w:val="00B80B26"/>
    <w:rsid w:val="00B838AD"/>
    <w:rsid w:val="00B86608"/>
    <w:rsid w:val="00BA3A0C"/>
    <w:rsid w:val="00BA404F"/>
    <w:rsid w:val="00BA5BFB"/>
    <w:rsid w:val="00BB3ACD"/>
    <w:rsid w:val="00BC0807"/>
    <w:rsid w:val="00BC1442"/>
    <w:rsid w:val="00BC4919"/>
    <w:rsid w:val="00BC507E"/>
    <w:rsid w:val="00BE45E5"/>
    <w:rsid w:val="00BF2822"/>
    <w:rsid w:val="00BF2F28"/>
    <w:rsid w:val="00BF5B9E"/>
    <w:rsid w:val="00C0653D"/>
    <w:rsid w:val="00C06D24"/>
    <w:rsid w:val="00C17350"/>
    <w:rsid w:val="00C21452"/>
    <w:rsid w:val="00C24100"/>
    <w:rsid w:val="00C258AA"/>
    <w:rsid w:val="00C2769E"/>
    <w:rsid w:val="00C35110"/>
    <w:rsid w:val="00C36654"/>
    <w:rsid w:val="00C402AE"/>
    <w:rsid w:val="00C52F1D"/>
    <w:rsid w:val="00C54CED"/>
    <w:rsid w:val="00C74B88"/>
    <w:rsid w:val="00C903B8"/>
    <w:rsid w:val="00C91301"/>
    <w:rsid w:val="00C91C2F"/>
    <w:rsid w:val="00C96608"/>
    <w:rsid w:val="00CA3D20"/>
    <w:rsid w:val="00CB1652"/>
    <w:rsid w:val="00CB2F6E"/>
    <w:rsid w:val="00CB2FA6"/>
    <w:rsid w:val="00CB7AE0"/>
    <w:rsid w:val="00CC0402"/>
    <w:rsid w:val="00CC3161"/>
    <w:rsid w:val="00CC7367"/>
    <w:rsid w:val="00CD03E7"/>
    <w:rsid w:val="00CE2270"/>
    <w:rsid w:val="00CF3F12"/>
    <w:rsid w:val="00D154F8"/>
    <w:rsid w:val="00D3589B"/>
    <w:rsid w:val="00D5013D"/>
    <w:rsid w:val="00D50254"/>
    <w:rsid w:val="00D61B31"/>
    <w:rsid w:val="00D64064"/>
    <w:rsid w:val="00D70732"/>
    <w:rsid w:val="00D73262"/>
    <w:rsid w:val="00D73A0A"/>
    <w:rsid w:val="00D94150"/>
    <w:rsid w:val="00DA36D6"/>
    <w:rsid w:val="00DA49AB"/>
    <w:rsid w:val="00DA646A"/>
    <w:rsid w:val="00DB7EC0"/>
    <w:rsid w:val="00DC4D86"/>
    <w:rsid w:val="00DD2E17"/>
    <w:rsid w:val="00DF4C64"/>
    <w:rsid w:val="00E048A5"/>
    <w:rsid w:val="00E04D2B"/>
    <w:rsid w:val="00E10CD5"/>
    <w:rsid w:val="00E22764"/>
    <w:rsid w:val="00E2707C"/>
    <w:rsid w:val="00E270C8"/>
    <w:rsid w:val="00E31A40"/>
    <w:rsid w:val="00E31D00"/>
    <w:rsid w:val="00E3448B"/>
    <w:rsid w:val="00E34D5B"/>
    <w:rsid w:val="00E72B05"/>
    <w:rsid w:val="00E76C5C"/>
    <w:rsid w:val="00E80146"/>
    <w:rsid w:val="00E82263"/>
    <w:rsid w:val="00EB2414"/>
    <w:rsid w:val="00ED183A"/>
    <w:rsid w:val="00ED63F7"/>
    <w:rsid w:val="00ED6707"/>
    <w:rsid w:val="00ED7E1E"/>
    <w:rsid w:val="00EE1E5F"/>
    <w:rsid w:val="00EE2A54"/>
    <w:rsid w:val="00EE6020"/>
    <w:rsid w:val="00F11A72"/>
    <w:rsid w:val="00F12B96"/>
    <w:rsid w:val="00F13542"/>
    <w:rsid w:val="00F15570"/>
    <w:rsid w:val="00F15EB7"/>
    <w:rsid w:val="00F177AC"/>
    <w:rsid w:val="00F20D51"/>
    <w:rsid w:val="00F327A1"/>
    <w:rsid w:val="00F33A54"/>
    <w:rsid w:val="00F475DC"/>
    <w:rsid w:val="00F521BF"/>
    <w:rsid w:val="00F6214A"/>
    <w:rsid w:val="00F62978"/>
    <w:rsid w:val="00F639BA"/>
    <w:rsid w:val="00F651E5"/>
    <w:rsid w:val="00F76E9B"/>
    <w:rsid w:val="00F87364"/>
    <w:rsid w:val="00F87A5B"/>
    <w:rsid w:val="00F963C3"/>
    <w:rsid w:val="00FA2EFC"/>
    <w:rsid w:val="00FB4B14"/>
    <w:rsid w:val="00FC527F"/>
    <w:rsid w:val="00FC5E68"/>
    <w:rsid w:val="00FD4FD5"/>
    <w:rsid w:val="00FE2BD4"/>
    <w:rsid w:val="00FE3A1B"/>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97F8A33"/>
  <w15:docId w15:val="{9C3127F6-FC45-4EBD-AB7F-BB9F34EC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s-UY" w:eastAsia="zh-CN"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CD2"/>
    <w:rPr>
      <w:rFonts w:ascii="Arial" w:hAnsi="Arial"/>
      <w:lang w:eastAsia="fr-CH"/>
    </w:rPr>
  </w:style>
  <w:style w:type="paragraph" w:styleId="Heading1">
    <w:name w:val="heading 1"/>
    <w:basedOn w:val="Normal"/>
    <w:next w:val="Textedebase"/>
    <w:qFormat/>
    <w:rsid w:val="00E2707C"/>
    <w:pPr>
      <w:ind w:left="567" w:hanging="567"/>
      <w:outlineLvl w:val="0"/>
    </w:pPr>
    <w:rPr>
      <w:b/>
      <w:bCs/>
    </w:rPr>
  </w:style>
  <w:style w:type="paragraph" w:styleId="Heading2">
    <w:name w:val="heading 2"/>
    <w:basedOn w:val="Normal"/>
    <w:next w:val="Textedebase"/>
    <w:qFormat/>
    <w:rsid w:val="00E2707C"/>
    <w:pPr>
      <w:ind w:left="567" w:hanging="567"/>
      <w:outlineLvl w:val="1"/>
    </w:pPr>
    <w:rPr>
      <w:i/>
      <w:iCs/>
    </w:rPr>
  </w:style>
  <w:style w:type="paragraph" w:styleId="Heading3">
    <w:name w:val="heading 3"/>
    <w:basedOn w:val="Normal"/>
    <w:next w:val="Textedebase"/>
    <w:qFormat/>
    <w:rsid w:val="00E2707C"/>
    <w:pPr>
      <w:tabs>
        <w:tab w:val="left" w:pos="567"/>
      </w:tabs>
      <w:outlineLvl w:val="2"/>
    </w:pPr>
  </w:style>
  <w:style w:type="paragraph" w:styleId="Heading4">
    <w:name w:val="heading 4"/>
    <w:basedOn w:val="Normal"/>
    <w:next w:val="Normal"/>
    <w:qFormat/>
    <w:rsid w:val="00E2707C"/>
    <w:pPr>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sid w:val="007533DD"/>
    <w:rPr>
      <w:rFonts w:ascii="Arial" w:hAnsi="Arial"/>
      <w:b w:val="0"/>
      <w:i w:val="0"/>
      <w:sz w:val="20"/>
      <w:vertAlign w:val="superscript"/>
      <w:lang w:val="es-UY"/>
    </w:rPr>
  </w:style>
  <w:style w:type="paragraph" w:customStyle="1" w:styleId="2Texte">
    <w:name w:val="2 (Texte)"/>
    <w:basedOn w:val="Normal"/>
    <w:rsid w:val="00E2707C"/>
    <w:rPr>
      <w:snapToGrid w:val="0"/>
      <w:lang w:eastAsia="fr-FR"/>
    </w:rPr>
  </w:style>
  <w:style w:type="paragraph" w:customStyle="1" w:styleId="Textedebase">
    <w:name w:val="Texte de base"/>
    <w:basedOn w:val="Normal"/>
    <w:link w:val="TextedebaseCar"/>
    <w:rsid w:val="00E2707C"/>
  </w:style>
  <w:style w:type="paragraph" w:customStyle="1" w:styleId="Premierretrait">
    <w:name w:val="Premier retrait"/>
    <w:basedOn w:val="Textedebase"/>
    <w:rsid w:val="00E2707C"/>
    <w:pPr>
      <w:spacing w:before="120"/>
      <w:ind w:left="567" w:hanging="567"/>
    </w:pPr>
  </w:style>
  <w:style w:type="paragraph" w:customStyle="1" w:styleId="Deuximeretrait">
    <w:name w:val="Deuxième retrait"/>
    <w:basedOn w:val="Textedebase"/>
    <w:rsid w:val="00E2707C"/>
    <w:pPr>
      <w:spacing w:before="120"/>
      <w:ind w:left="1134" w:hanging="567"/>
    </w:pPr>
  </w:style>
  <w:style w:type="paragraph" w:customStyle="1" w:styleId="Troisimeretrait">
    <w:name w:val="Troisième retrait"/>
    <w:basedOn w:val="Textedebase"/>
    <w:rsid w:val="00E2707C"/>
    <w:pPr>
      <w:spacing w:before="120"/>
      <w:ind w:left="1701" w:hanging="567"/>
    </w:pPr>
  </w:style>
  <w:style w:type="paragraph" w:customStyle="1" w:styleId="Datesignature">
    <w:name w:val="Date+signature"/>
    <w:basedOn w:val="Normal"/>
    <w:rsid w:val="00E2707C"/>
    <w:pPr>
      <w:tabs>
        <w:tab w:val="left" w:pos="5500"/>
      </w:tabs>
    </w:pPr>
    <w:rPr>
      <w:noProof/>
    </w:rPr>
  </w:style>
  <w:style w:type="paragraph" w:styleId="FootnoteText">
    <w:name w:val="footnote text"/>
    <w:basedOn w:val="Normal"/>
    <w:semiHidden/>
    <w:rsid w:val="00E2707C"/>
    <w:rPr>
      <w:sz w:val="18"/>
      <w:szCs w:val="18"/>
    </w:rPr>
  </w:style>
  <w:style w:type="paragraph" w:styleId="Footer">
    <w:name w:val="footer"/>
    <w:basedOn w:val="Normal"/>
    <w:rsid w:val="00E2707C"/>
    <w:pPr>
      <w:tabs>
        <w:tab w:val="center" w:pos="4536"/>
        <w:tab w:val="right" w:pos="9072"/>
      </w:tabs>
    </w:pPr>
  </w:style>
  <w:style w:type="paragraph" w:styleId="Header">
    <w:name w:val="header"/>
    <w:basedOn w:val="Normal"/>
    <w:rsid w:val="00E2707C"/>
    <w:pPr>
      <w:tabs>
        <w:tab w:val="center" w:pos="4536"/>
        <w:tab w:val="right" w:pos="9072"/>
      </w:tabs>
    </w:pPr>
  </w:style>
  <w:style w:type="paragraph" w:styleId="EndnoteText">
    <w:name w:val="endnote text"/>
    <w:basedOn w:val="Normal"/>
    <w:semiHidden/>
    <w:rsid w:val="00E2707C"/>
    <w:pPr>
      <w:ind w:left="284" w:hanging="284"/>
    </w:pPr>
    <w:rPr>
      <w:sz w:val="18"/>
      <w:szCs w:val="18"/>
    </w:rPr>
  </w:style>
  <w:style w:type="character" w:styleId="EndnoteReference">
    <w:name w:val="endnote reference"/>
    <w:semiHidden/>
    <w:rsid w:val="00E2707C"/>
    <w:rPr>
      <w:rFonts w:ascii="Arial" w:hAnsi="Arial"/>
      <w:b/>
      <w:sz w:val="20"/>
      <w:szCs w:val="20"/>
      <w:vertAlign w:val="superscript"/>
      <w:lang w:val="es-UY" w:eastAsia="fr-CH" w:bidi="ar-SA"/>
    </w:rPr>
  </w:style>
  <w:style w:type="paragraph" w:styleId="TOC9">
    <w:name w:val="toc 9"/>
    <w:basedOn w:val="Normal"/>
    <w:next w:val="Normal"/>
    <w:autoRedefine/>
    <w:semiHidden/>
    <w:rsid w:val="00E2707C"/>
    <w:pPr>
      <w:tabs>
        <w:tab w:val="left" w:pos="1620"/>
      </w:tabs>
      <w:autoSpaceDE w:val="0"/>
      <w:autoSpaceDN w:val="0"/>
      <w:adjustRightInd w:val="0"/>
    </w:pPr>
    <w:rPr>
      <w:rFonts w:cs="Arial"/>
    </w:rPr>
  </w:style>
  <w:style w:type="paragraph" w:styleId="BalloonText">
    <w:name w:val="Balloon Text"/>
    <w:basedOn w:val="Normal"/>
    <w:semiHidden/>
    <w:rsid w:val="00E2707C"/>
    <w:rPr>
      <w:rFonts w:ascii="Tahoma" w:hAnsi="Tahoma" w:cs="Tahoma"/>
      <w:sz w:val="16"/>
      <w:szCs w:val="16"/>
    </w:rPr>
  </w:style>
  <w:style w:type="paragraph" w:customStyle="1" w:styleId="Barredanslamarge">
    <w:name w:val="Barre dans la marge"/>
    <w:basedOn w:val="Normal"/>
    <w:rsid w:val="00E2707C"/>
    <w:pPr>
      <w:autoSpaceDE w:val="0"/>
      <w:autoSpaceDN w:val="0"/>
      <w:adjustRightInd w:val="0"/>
    </w:pPr>
    <w:rPr>
      <w:rFonts w:cs="Arial"/>
      <w:spacing w:val="3"/>
    </w:rPr>
  </w:style>
  <w:style w:type="paragraph" w:customStyle="1" w:styleId="Deuximeretraittableau">
    <w:name w:val="Deuxième retrait tableau"/>
    <w:basedOn w:val="Deuximeretrait"/>
    <w:qFormat/>
    <w:rsid w:val="00471015"/>
    <w:pPr>
      <w:tabs>
        <w:tab w:val="left" w:pos="567"/>
      </w:tabs>
      <w:spacing w:before="60" w:after="60"/>
      <w:ind w:left="568" w:hanging="284"/>
    </w:pPr>
  </w:style>
  <w:style w:type="paragraph" w:customStyle="1" w:styleId="Premierretraittableau">
    <w:name w:val="Premier retrait tableau"/>
    <w:basedOn w:val="Premierretrait"/>
    <w:qFormat/>
    <w:rsid w:val="00B80B26"/>
    <w:pPr>
      <w:tabs>
        <w:tab w:val="left" w:pos="284"/>
      </w:tabs>
      <w:spacing w:before="60" w:after="60"/>
      <w:ind w:left="284" w:hanging="284"/>
    </w:pPr>
  </w:style>
  <w:style w:type="paragraph" w:customStyle="1" w:styleId="TroisimeretraitTableau">
    <w:name w:val="Troisième retrait Tableau"/>
    <w:basedOn w:val="Troisimeretrait"/>
    <w:qFormat/>
    <w:rsid w:val="00471015"/>
    <w:pPr>
      <w:tabs>
        <w:tab w:val="left" w:pos="851"/>
      </w:tabs>
      <w:spacing w:before="60" w:after="60"/>
      <w:ind w:left="851" w:hanging="284"/>
    </w:pPr>
  </w:style>
  <w:style w:type="character" w:styleId="Hyperlink">
    <w:name w:val="Hyperlink"/>
    <w:rsid w:val="00E2707C"/>
    <w:rPr>
      <w:rFonts w:ascii="Arial" w:hAnsi="Arial"/>
      <w:b/>
      <w:color w:val="auto"/>
      <w:u w:val="none"/>
      <w:lang w:val="es-UY" w:eastAsia="fr-CH" w:bidi="ar-SA"/>
    </w:rPr>
  </w:style>
  <w:style w:type="paragraph" w:customStyle="1" w:styleId="Ordredujour">
    <w:name w:val="Ordre du jour"/>
    <w:basedOn w:val="Normal"/>
    <w:rsid w:val="00E2707C"/>
    <w:pPr>
      <w:spacing w:line="240" w:lineRule="atLeast"/>
      <w:ind w:left="567" w:right="595" w:hanging="567"/>
    </w:pPr>
  </w:style>
  <w:style w:type="paragraph" w:customStyle="1" w:styleId="Ordredujour1relignepoint1">
    <w:name w:val="Ordre du jour (1ère ligne: point 1)"/>
    <w:basedOn w:val="Ordredujour"/>
    <w:next w:val="Ordredujour"/>
    <w:rsid w:val="00E2707C"/>
    <w:pPr>
      <w:ind w:right="295"/>
    </w:pPr>
  </w:style>
  <w:style w:type="paragraph" w:styleId="ListParagraph">
    <w:name w:val="List Paragraph"/>
    <w:basedOn w:val="Normal"/>
    <w:uiPriority w:val="34"/>
    <w:qFormat/>
    <w:rsid w:val="00B743E0"/>
    <w:pPr>
      <w:ind w:left="720"/>
      <w:contextualSpacing/>
    </w:pPr>
  </w:style>
  <w:style w:type="paragraph" w:customStyle="1" w:styleId="2Deuximeretrait">
    <w:name w:val="2 Deuxième retrait"/>
    <w:basedOn w:val="Normal"/>
    <w:rsid w:val="00960C87"/>
    <w:pPr>
      <w:spacing w:before="120" w:line="240" w:lineRule="exact"/>
    </w:pPr>
    <w:rPr>
      <w:lang w:val="fr-FR"/>
    </w:rPr>
  </w:style>
  <w:style w:type="character" w:customStyle="1" w:styleId="TextedebaseCar">
    <w:name w:val="Texte de base Car"/>
    <w:basedOn w:val="DefaultParagraphFont"/>
    <w:link w:val="Textedebase"/>
    <w:rsid w:val="00A34208"/>
    <w:rPr>
      <w:rFonts w:ascii="Arial" w:hAnsi="Arial"/>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20PITAF@upu.int" TargetMode="External"/><Relationship Id="rId2" Type="http://schemas.openxmlformats.org/officeDocument/2006/relationships/customXml" Target="../customXml/item2.xml"/><Relationship Id="rId16" Type="http://schemas.openxmlformats.org/officeDocument/2006/relationships/hyperlink" Target="mailto:%20PITAF@upu.i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20PITAF@upu.i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u.int/en/publications/financial-inclusion/scalingup-postal-inclusive-insur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9C4CB586-DDA8-4209-AEC4-06E8143E8BE8}">
  <ds:schemaRefs>
    <ds:schemaRef ds:uri="http://schemas.openxmlformats.org/officeDocument/2006/bibliography"/>
  </ds:schemaRefs>
</ds:datastoreItem>
</file>

<file path=customXml/itemProps2.xml><?xml version="1.0" encoding="utf-8"?>
<ds:datastoreItem xmlns:ds="http://schemas.openxmlformats.org/officeDocument/2006/customXml" ds:itemID="{6B36CC2B-449E-4FAF-96A3-8BBF4A765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1F938-B460-4551-90DA-AAA06B9AF13D}">
  <ds:schemaRefs>
    <ds:schemaRef ds:uri="http://schemas.microsoft.com/sharepoint/v3/contenttype/forms"/>
  </ds:schemaRefs>
</ds:datastoreItem>
</file>

<file path=customXml/itemProps4.xml><?xml version="1.0" encoding="utf-8"?>
<ds:datastoreItem xmlns:ds="http://schemas.openxmlformats.org/officeDocument/2006/customXml" ds:itemID="{96B2E251-C249-48CB-AC5E-212CE9AA54C1}">
  <ds:schemaRefs>
    <ds:schemaRef ds:uri="http://schemas.microsoft.com/office/2006/metadata/properties"/>
    <ds:schemaRef ds:uri="http://schemas.microsoft.com/office/infopath/2007/PartnerControls"/>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1920</Words>
  <Characters>10948</Characters>
  <Application>Microsoft Office Word</Application>
  <DocSecurity>0</DocSecurity>
  <Lines>91</Lines>
  <Paragraphs>25</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YARTSEVA veronika</cp:lastModifiedBy>
  <cp:revision>48</cp:revision>
  <cp:lastPrinted>2009-05-26T10:43:00Z</cp:lastPrinted>
  <dcterms:created xsi:type="dcterms:W3CDTF">2015-02-19T17:16:00Z</dcterms:created>
  <dcterms:modified xsi:type="dcterms:W3CDTF">2025-07-08T12:22:00Z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21400</vt:r8>
  </property>
</Properties>
</file>