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2CF1B" w14:textId="77777777" w:rsidR="00FC6048" w:rsidRPr="005B37F0" w:rsidRDefault="00FC6048" w:rsidP="005B37F0">
      <w:pPr>
        <w:rPr>
          <w:rFonts w:cs="Arial"/>
          <w:sz w:val="24"/>
          <w:szCs w:val="24"/>
          <w:lang w:eastAsia="zh-CN"/>
        </w:rPr>
      </w:pPr>
    </w:p>
    <w:p w14:paraId="4D800C6F" w14:textId="77777777" w:rsidR="00FC6048" w:rsidRPr="005B37F0" w:rsidRDefault="00FC6048" w:rsidP="005B37F0">
      <w:pPr>
        <w:pStyle w:val="0Textedebase"/>
        <w:ind w:left="1418" w:hanging="1418"/>
        <w:rPr>
          <w:rFonts w:cs="Arial"/>
          <w:sz w:val="24"/>
          <w:szCs w:val="24"/>
          <w:lang w:eastAsia="zh-CN"/>
        </w:rPr>
      </w:pPr>
    </w:p>
    <w:p w14:paraId="4469DF0F" w14:textId="77777777" w:rsidR="00FC6048" w:rsidRPr="005B37F0" w:rsidRDefault="00FC6048" w:rsidP="005B37F0">
      <w:pPr>
        <w:pStyle w:val="0Textedebase"/>
        <w:ind w:left="1418" w:hanging="1418"/>
        <w:rPr>
          <w:rFonts w:cs="Arial"/>
          <w:sz w:val="24"/>
          <w:szCs w:val="24"/>
          <w:lang w:eastAsia="zh-CN"/>
        </w:rPr>
      </w:pPr>
    </w:p>
    <w:p w14:paraId="2C9F0908" w14:textId="77777777" w:rsidR="00FC6048" w:rsidRPr="005B37F0" w:rsidRDefault="00FC6048" w:rsidP="005B37F0">
      <w:pPr>
        <w:pStyle w:val="0Textedebase"/>
        <w:ind w:left="1418" w:hanging="1418"/>
        <w:rPr>
          <w:rFonts w:cs="Arial"/>
          <w:sz w:val="24"/>
          <w:szCs w:val="24"/>
          <w:lang w:eastAsia="zh-CN"/>
        </w:rPr>
      </w:pPr>
    </w:p>
    <w:p w14:paraId="6C2A55CA" w14:textId="77777777" w:rsidR="00FC6048" w:rsidRPr="005B37F0" w:rsidRDefault="00FC6048" w:rsidP="005B37F0">
      <w:pPr>
        <w:pStyle w:val="0Textedebase"/>
        <w:ind w:left="1418" w:hanging="1418"/>
        <w:rPr>
          <w:rFonts w:cs="Arial"/>
          <w:sz w:val="24"/>
          <w:szCs w:val="24"/>
          <w:lang w:eastAsia="zh-CN"/>
        </w:rPr>
      </w:pPr>
    </w:p>
    <w:p w14:paraId="2F2A1714" w14:textId="77777777" w:rsidR="00FC6048" w:rsidRPr="005B37F0" w:rsidRDefault="00FC6048" w:rsidP="005B37F0">
      <w:pPr>
        <w:pStyle w:val="0Textedebase"/>
        <w:ind w:left="1418" w:hanging="1418"/>
        <w:rPr>
          <w:rFonts w:cs="Arial"/>
          <w:sz w:val="24"/>
          <w:szCs w:val="24"/>
          <w:lang w:eastAsia="zh-CN"/>
        </w:rPr>
      </w:pPr>
    </w:p>
    <w:p w14:paraId="7CC414EE" w14:textId="77777777" w:rsidR="00FC6048" w:rsidRPr="005B37F0" w:rsidRDefault="00FC6048" w:rsidP="005B37F0">
      <w:pPr>
        <w:pStyle w:val="0Textedebase"/>
        <w:ind w:left="1418" w:hanging="1418"/>
        <w:rPr>
          <w:rFonts w:cs="Arial"/>
          <w:sz w:val="24"/>
          <w:szCs w:val="24"/>
          <w:lang w:eastAsia="zh-CN"/>
        </w:rPr>
      </w:pPr>
    </w:p>
    <w:p w14:paraId="0963F749" w14:textId="77777777" w:rsidR="00FC6048" w:rsidRPr="005B37F0" w:rsidRDefault="00FC6048" w:rsidP="005B37F0">
      <w:pPr>
        <w:pStyle w:val="0Textedebase"/>
        <w:ind w:left="1418" w:hanging="1418"/>
        <w:rPr>
          <w:rFonts w:cs="Arial"/>
          <w:sz w:val="24"/>
          <w:szCs w:val="24"/>
          <w:lang w:eastAsia="zh-CN"/>
        </w:rPr>
      </w:pPr>
    </w:p>
    <w:p w14:paraId="5B1252B5" w14:textId="77777777" w:rsidR="00FC6048" w:rsidRPr="005B37F0" w:rsidRDefault="00FC6048" w:rsidP="005B37F0">
      <w:pPr>
        <w:pStyle w:val="0Textedebase"/>
        <w:ind w:left="1418" w:hanging="1418"/>
        <w:rPr>
          <w:rFonts w:cs="Arial"/>
          <w:sz w:val="24"/>
          <w:szCs w:val="24"/>
          <w:lang w:eastAsia="zh-CN"/>
        </w:rPr>
      </w:pPr>
    </w:p>
    <w:p w14:paraId="68FBC384" w14:textId="77777777" w:rsidR="00FC6048" w:rsidRPr="005B37F0" w:rsidRDefault="00FC6048" w:rsidP="005B37F0">
      <w:pPr>
        <w:pStyle w:val="0Textedebase"/>
        <w:spacing w:after="180"/>
        <w:ind w:left="1418" w:hanging="1418"/>
        <w:rPr>
          <w:rFonts w:cs="Arial"/>
          <w:sz w:val="24"/>
          <w:szCs w:val="24"/>
          <w:lang w:eastAsia="zh-CN"/>
        </w:rPr>
      </w:pPr>
    </w:p>
    <w:p w14:paraId="455827D4" w14:textId="4FE59314" w:rsidR="0079796F" w:rsidRPr="005B37F0" w:rsidRDefault="0014210B" w:rsidP="005B37F0">
      <w:pPr>
        <w:pStyle w:val="0Textedebase"/>
        <w:rPr>
          <w:rFonts w:cs="Arial"/>
          <w:b/>
          <w:bCs/>
          <w:sz w:val="40"/>
          <w:szCs w:val="40"/>
        </w:rPr>
      </w:pPr>
      <w:r w:rsidRPr="005B37F0">
        <w:rPr>
          <w:rFonts w:cs="Arial"/>
          <w:b/>
          <w:bCs/>
          <w:sz w:val="40"/>
          <w:szCs w:val="40"/>
        </w:rPr>
        <w:t>Call for projects 2025</w:t>
      </w:r>
    </w:p>
    <w:p w14:paraId="61FCCA9A" w14:textId="1D889006" w:rsidR="0079796F" w:rsidRPr="005B37F0" w:rsidRDefault="0079796F" w:rsidP="005B37F0">
      <w:pPr>
        <w:pStyle w:val="0Textedebase"/>
        <w:rPr>
          <w:rFonts w:cs="Arial"/>
          <w:sz w:val="32"/>
          <w:szCs w:val="32"/>
        </w:rPr>
      </w:pPr>
    </w:p>
    <w:p w14:paraId="1B09ED54" w14:textId="77777777" w:rsidR="00FC6048" w:rsidRPr="005B37F0" w:rsidRDefault="00FC6048" w:rsidP="005B37F0">
      <w:pPr>
        <w:pStyle w:val="0Textedebase"/>
        <w:rPr>
          <w:rFonts w:cs="Arial"/>
          <w:sz w:val="32"/>
          <w:szCs w:val="32"/>
        </w:rPr>
      </w:pPr>
    </w:p>
    <w:p w14:paraId="39F566F0" w14:textId="7D3284FC" w:rsidR="0079796F" w:rsidRPr="005B37F0" w:rsidRDefault="0014210B" w:rsidP="005B37F0">
      <w:pPr>
        <w:pStyle w:val="0Textedebase"/>
        <w:rPr>
          <w:rFonts w:cs="Arial"/>
          <w:b/>
          <w:bCs/>
          <w:sz w:val="32"/>
          <w:szCs w:val="32"/>
        </w:rPr>
      </w:pPr>
      <w:r w:rsidRPr="005B37F0">
        <w:rPr>
          <w:rFonts w:cs="Arial"/>
          <w:b/>
          <w:bCs/>
          <w:sz w:val="32"/>
          <w:szCs w:val="32"/>
        </w:rPr>
        <w:t>UPU Postal Insurance Technical Assistance Facility (PITAF)</w:t>
      </w:r>
    </w:p>
    <w:p w14:paraId="1624BB59" w14:textId="6ABCA86B" w:rsidR="0014210B" w:rsidRPr="005B37F0" w:rsidRDefault="0014210B" w:rsidP="005B37F0">
      <w:pPr>
        <w:pStyle w:val="0Textedebase"/>
        <w:rPr>
          <w:rFonts w:cs="Arial"/>
          <w:b/>
          <w:bCs/>
          <w:sz w:val="32"/>
          <w:szCs w:val="32"/>
        </w:rPr>
      </w:pPr>
    </w:p>
    <w:p w14:paraId="629605FB" w14:textId="77777777" w:rsidR="0014210B" w:rsidRPr="005B37F0" w:rsidRDefault="0014210B" w:rsidP="005B37F0">
      <w:pPr>
        <w:pStyle w:val="0Textedebase"/>
        <w:rPr>
          <w:rFonts w:cs="Arial"/>
          <w:b/>
          <w:bCs/>
          <w:sz w:val="32"/>
          <w:szCs w:val="32"/>
        </w:rPr>
      </w:pPr>
    </w:p>
    <w:p w14:paraId="59C84D3F" w14:textId="0D28A132" w:rsidR="0014210B" w:rsidRPr="005B37F0" w:rsidRDefault="0014210B" w:rsidP="005B37F0">
      <w:pPr>
        <w:pStyle w:val="0Textedebase"/>
        <w:rPr>
          <w:rFonts w:cs="Arial"/>
          <w:b/>
          <w:bCs/>
          <w:sz w:val="32"/>
          <w:szCs w:val="32"/>
        </w:rPr>
      </w:pPr>
      <w:r w:rsidRPr="005B37F0">
        <w:rPr>
          <w:rFonts w:cs="Arial"/>
          <w:b/>
          <w:bCs/>
          <w:sz w:val="32"/>
          <w:szCs w:val="32"/>
        </w:rPr>
        <w:t>Advancing postal inclusive insurance solutions and capabilities to advance financial inclusion</w:t>
      </w:r>
    </w:p>
    <w:p w14:paraId="167ADBBC" w14:textId="66E27D5D" w:rsidR="00A116AF" w:rsidRPr="005B37F0" w:rsidRDefault="00A116AF" w:rsidP="005B37F0">
      <w:pPr>
        <w:pStyle w:val="0Textedebase"/>
        <w:rPr>
          <w:rFonts w:cs="Arial"/>
        </w:rPr>
      </w:pPr>
    </w:p>
    <w:p w14:paraId="19F04E6D" w14:textId="32FD65D1" w:rsidR="00FC6048" w:rsidRPr="005B37F0" w:rsidRDefault="00FC6048" w:rsidP="005B37F0">
      <w:pPr>
        <w:pStyle w:val="0Textedebase"/>
        <w:rPr>
          <w:rFonts w:cs="Arial"/>
        </w:rPr>
      </w:pPr>
    </w:p>
    <w:p w14:paraId="3E37E1EF" w14:textId="00E373F5" w:rsidR="00FC6048" w:rsidRPr="005B37F0" w:rsidRDefault="00FC6048" w:rsidP="005B37F0">
      <w:pPr>
        <w:pStyle w:val="0Textedebase"/>
        <w:rPr>
          <w:rFonts w:cs="Arial"/>
        </w:rPr>
      </w:pPr>
    </w:p>
    <w:p w14:paraId="30E42139" w14:textId="3ADB496C" w:rsidR="00FC6048" w:rsidRPr="005B37F0" w:rsidRDefault="00FC6048" w:rsidP="005B37F0">
      <w:pPr>
        <w:pStyle w:val="0Textedebase"/>
        <w:rPr>
          <w:rFonts w:cs="Arial"/>
        </w:rPr>
      </w:pPr>
    </w:p>
    <w:p w14:paraId="099C7EAE" w14:textId="53B48B1D" w:rsidR="00FC6048" w:rsidRPr="005B37F0" w:rsidRDefault="00FC6048" w:rsidP="005B37F0">
      <w:pPr>
        <w:pStyle w:val="0Textedebase"/>
        <w:rPr>
          <w:rFonts w:cs="Arial"/>
        </w:rPr>
      </w:pPr>
    </w:p>
    <w:p w14:paraId="5049B053" w14:textId="35FE435C" w:rsidR="00FC6048" w:rsidRPr="005B37F0" w:rsidRDefault="00FC6048" w:rsidP="005B37F0">
      <w:pPr>
        <w:pStyle w:val="0Textedebase"/>
        <w:rPr>
          <w:rFonts w:cs="Arial"/>
        </w:rPr>
      </w:pPr>
    </w:p>
    <w:p w14:paraId="766AE6C7" w14:textId="7E244FA2" w:rsidR="00FC6048" w:rsidRPr="005B37F0" w:rsidRDefault="00FC6048" w:rsidP="005B37F0">
      <w:pPr>
        <w:pStyle w:val="0Textedebase"/>
        <w:rPr>
          <w:rFonts w:cs="Arial"/>
        </w:rPr>
      </w:pPr>
    </w:p>
    <w:p w14:paraId="520FF70E" w14:textId="4985C201" w:rsidR="00FC6048" w:rsidRPr="005B37F0" w:rsidRDefault="00FC6048" w:rsidP="005B37F0">
      <w:pPr>
        <w:pStyle w:val="0Textedebase"/>
        <w:rPr>
          <w:rFonts w:cs="Arial"/>
        </w:rPr>
      </w:pPr>
    </w:p>
    <w:p w14:paraId="2B708C1D" w14:textId="17BBEFA8" w:rsidR="00FC6048" w:rsidRPr="005B37F0" w:rsidRDefault="00FC6048" w:rsidP="005B37F0">
      <w:pPr>
        <w:pStyle w:val="0Textedebase"/>
        <w:rPr>
          <w:rFonts w:cs="Arial"/>
        </w:rPr>
      </w:pPr>
    </w:p>
    <w:p w14:paraId="1FE5BF93" w14:textId="4BF31F14" w:rsidR="00FC6048" w:rsidRPr="005B37F0" w:rsidRDefault="00FC6048" w:rsidP="005B37F0">
      <w:pPr>
        <w:pStyle w:val="0Textedebase"/>
        <w:rPr>
          <w:rFonts w:cs="Arial"/>
        </w:rPr>
      </w:pPr>
    </w:p>
    <w:p w14:paraId="48FC1057" w14:textId="090BBDCA" w:rsidR="00FC6048" w:rsidRPr="005B37F0" w:rsidRDefault="00FC6048" w:rsidP="005B37F0">
      <w:pPr>
        <w:pStyle w:val="0Textedebase"/>
        <w:rPr>
          <w:rFonts w:cs="Arial"/>
        </w:rPr>
      </w:pPr>
    </w:p>
    <w:p w14:paraId="227C9C3E" w14:textId="2182B04C" w:rsidR="00FC6048" w:rsidRPr="005B37F0" w:rsidRDefault="00FC6048" w:rsidP="005B37F0">
      <w:pPr>
        <w:pStyle w:val="0Textedebase"/>
        <w:rPr>
          <w:rFonts w:cs="Arial"/>
        </w:rPr>
      </w:pPr>
    </w:p>
    <w:p w14:paraId="2DB208CF" w14:textId="2208C5B1" w:rsidR="00FC6048" w:rsidRPr="005B37F0" w:rsidRDefault="00FC6048" w:rsidP="005B37F0">
      <w:pPr>
        <w:pStyle w:val="0Textedebase"/>
        <w:rPr>
          <w:rFonts w:cs="Arial"/>
        </w:rPr>
      </w:pPr>
    </w:p>
    <w:p w14:paraId="4594DEA2" w14:textId="7B2DC3B1" w:rsidR="00FC6048" w:rsidRPr="005B37F0" w:rsidRDefault="00FC6048" w:rsidP="005B37F0">
      <w:pPr>
        <w:pStyle w:val="0Textedebase"/>
        <w:rPr>
          <w:rFonts w:cs="Arial"/>
        </w:rPr>
      </w:pPr>
    </w:p>
    <w:p w14:paraId="25B94B26" w14:textId="5084AF5E" w:rsidR="00FC6048" w:rsidRPr="005B37F0" w:rsidRDefault="00FC6048" w:rsidP="005B37F0">
      <w:pPr>
        <w:pStyle w:val="0Textedebase"/>
        <w:rPr>
          <w:rFonts w:cs="Arial"/>
        </w:rPr>
      </w:pPr>
    </w:p>
    <w:p w14:paraId="0D489CB1" w14:textId="35AFE939" w:rsidR="00FC6048" w:rsidRPr="005B37F0" w:rsidRDefault="00FC6048" w:rsidP="005B37F0">
      <w:pPr>
        <w:pStyle w:val="0Textedebase"/>
        <w:rPr>
          <w:rFonts w:cs="Arial"/>
        </w:rPr>
      </w:pPr>
    </w:p>
    <w:p w14:paraId="38930F04" w14:textId="7CB3E816" w:rsidR="00FC6048" w:rsidRPr="005B37F0" w:rsidRDefault="00FC6048" w:rsidP="005B37F0">
      <w:pPr>
        <w:pStyle w:val="0Textedebase"/>
        <w:rPr>
          <w:rFonts w:cs="Arial"/>
        </w:rPr>
      </w:pPr>
    </w:p>
    <w:p w14:paraId="1CDB99D1" w14:textId="2FA8AA4A" w:rsidR="00FC6048" w:rsidRPr="005B37F0" w:rsidRDefault="00FC6048" w:rsidP="005B37F0">
      <w:pPr>
        <w:pStyle w:val="0Textedebase"/>
        <w:rPr>
          <w:rFonts w:cs="Arial"/>
        </w:rPr>
      </w:pPr>
    </w:p>
    <w:p w14:paraId="749997AB" w14:textId="435C8391" w:rsidR="00FC6048" w:rsidRPr="005B37F0" w:rsidRDefault="00FC6048" w:rsidP="005B37F0">
      <w:pPr>
        <w:pStyle w:val="0Textedebase"/>
        <w:rPr>
          <w:rFonts w:cs="Arial"/>
        </w:rPr>
      </w:pPr>
    </w:p>
    <w:p w14:paraId="4F3022AC" w14:textId="04AF07E4" w:rsidR="00FC6048" w:rsidRPr="005B37F0" w:rsidRDefault="00FC6048" w:rsidP="005B37F0">
      <w:pPr>
        <w:pStyle w:val="0Textedebase"/>
        <w:rPr>
          <w:rFonts w:cs="Arial"/>
        </w:rPr>
      </w:pPr>
    </w:p>
    <w:p w14:paraId="49CE5C6A" w14:textId="50D5B408" w:rsidR="00FC6048" w:rsidRPr="005B37F0" w:rsidRDefault="00FC6048" w:rsidP="005B37F0">
      <w:pPr>
        <w:pStyle w:val="0Textedebase"/>
        <w:rPr>
          <w:rFonts w:cs="Arial"/>
        </w:rPr>
      </w:pPr>
    </w:p>
    <w:p w14:paraId="27A95A9D" w14:textId="27060517" w:rsidR="00FC6048" w:rsidRPr="005B37F0" w:rsidRDefault="00FC6048" w:rsidP="005B37F0">
      <w:pPr>
        <w:pStyle w:val="0Textedebase"/>
        <w:rPr>
          <w:rFonts w:cs="Arial"/>
        </w:rPr>
      </w:pPr>
    </w:p>
    <w:p w14:paraId="07316D20" w14:textId="77777777" w:rsidR="001B1265" w:rsidRPr="001B1265" w:rsidRDefault="001B1265" w:rsidP="001B1265">
      <w:pPr>
        <w:autoSpaceDE w:val="0"/>
        <w:autoSpaceDN w:val="0"/>
        <w:adjustRightInd w:val="0"/>
        <w:rPr>
          <w:sz w:val="22"/>
          <w:szCs w:val="22"/>
        </w:rPr>
      </w:pPr>
      <w:r w:rsidRPr="001B1265">
        <w:rPr>
          <w:sz w:val="32"/>
          <w:szCs w:val="32"/>
        </w:rPr>
        <w:t>PITAF programme</w:t>
      </w:r>
      <w:r w:rsidRPr="001B1265">
        <w:rPr>
          <w:sz w:val="22"/>
          <w:szCs w:val="22"/>
        </w:rPr>
        <w:t xml:space="preserve"> </w:t>
      </w:r>
    </w:p>
    <w:p w14:paraId="2CFE04D8" w14:textId="77777777" w:rsidR="00FC6048" w:rsidRPr="005B37F0" w:rsidRDefault="00FC6048" w:rsidP="005B37F0">
      <w:pPr>
        <w:pStyle w:val="0Textedebase"/>
        <w:rPr>
          <w:rFonts w:cs="Arial"/>
        </w:rPr>
      </w:pPr>
    </w:p>
    <w:p w14:paraId="1AE5F5EA" w14:textId="77777777" w:rsidR="00FC6048" w:rsidRPr="005B37F0" w:rsidRDefault="00FC6048" w:rsidP="005B37F0">
      <w:pPr>
        <w:pStyle w:val="0Textedebase"/>
        <w:rPr>
          <w:rFonts w:cs="Arial"/>
        </w:rPr>
      </w:pPr>
    </w:p>
    <w:p w14:paraId="024C66E9" w14:textId="699F0970" w:rsidR="0079796F" w:rsidRPr="005B37F0" w:rsidRDefault="0014210B" w:rsidP="005B37F0">
      <w:pPr>
        <w:pStyle w:val="0Textedebase"/>
        <w:rPr>
          <w:rFonts w:cs="Arial"/>
          <w:sz w:val="32"/>
          <w:szCs w:val="32"/>
        </w:rPr>
      </w:pPr>
      <w:r w:rsidRPr="005B37F0">
        <w:rPr>
          <w:rFonts w:cs="Arial"/>
          <w:sz w:val="32"/>
          <w:szCs w:val="32"/>
        </w:rPr>
        <w:t>2025</w:t>
      </w:r>
    </w:p>
    <w:p w14:paraId="4814A12E" w14:textId="77777777" w:rsidR="0079796F" w:rsidRPr="005B37F0" w:rsidRDefault="0079796F" w:rsidP="005B37F0">
      <w:pPr>
        <w:pStyle w:val="0Textedebase"/>
        <w:rPr>
          <w:rFonts w:cs="Arial"/>
        </w:rPr>
      </w:pPr>
    </w:p>
    <w:p w14:paraId="5A7845D1" w14:textId="77777777" w:rsidR="0079796F" w:rsidRPr="005B37F0" w:rsidRDefault="0079796F" w:rsidP="005B37F0">
      <w:pPr>
        <w:rPr>
          <w:rFonts w:cs="Arial"/>
        </w:rPr>
      </w:pPr>
    </w:p>
    <w:p w14:paraId="3BD7175C" w14:textId="77777777" w:rsidR="00344A3B" w:rsidRPr="005B37F0" w:rsidRDefault="00344A3B" w:rsidP="005B37F0">
      <w:pPr>
        <w:rPr>
          <w:rFonts w:cs="Arial"/>
          <w:lang w:eastAsia="en-US"/>
        </w:rPr>
      </w:pPr>
      <w:r w:rsidRPr="005B37F0">
        <w:rPr>
          <w:rFonts w:cs="Arial"/>
        </w:rPr>
        <w:br w:type="page"/>
      </w:r>
    </w:p>
    <w:p w14:paraId="58868AE6" w14:textId="58AA44D2" w:rsidR="000952D6" w:rsidRPr="005B37F0" w:rsidRDefault="0079796F" w:rsidP="005B37F0">
      <w:pPr>
        <w:pStyle w:val="TOC2"/>
      </w:pPr>
      <w:r w:rsidRPr="005B37F0">
        <w:rPr>
          <w:b/>
          <w:bCs/>
        </w:rPr>
        <w:lastRenderedPageBreak/>
        <w:t>Table of contents</w:t>
      </w:r>
      <w:r w:rsidRPr="005B37F0">
        <w:tab/>
        <w:t>Page</w:t>
      </w:r>
      <w:bookmarkStart w:id="0" w:name="_Toc356279529"/>
    </w:p>
    <w:bookmarkEnd w:id="0" w:displacedByCustomXml="next"/>
    <w:sdt>
      <w:sdtPr>
        <w:rPr>
          <w:rFonts w:ascii="Arial" w:eastAsia="Times New Roman" w:hAnsi="Arial" w:cs="Arial"/>
          <w:color w:val="auto"/>
          <w:sz w:val="20"/>
          <w:szCs w:val="20"/>
          <w:lang w:val="en-GB" w:eastAsia="fr-CH"/>
        </w:rPr>
        <w:id w:val="-572661941"/>
        <w:docPartObj>
          <w:docPartGallery w:val="Table of Contents"/>
          <w:docPartUnique/>
        </w:docPartObj>
      </w:sdtPr>
      <w:sdtEndPr>
        <w:rPr>
          <w:b/>
          <w:bCs/>
        </w:rPr>
      </w:sdtEndPr>
      <w:sdtContent>
        <w:p w14:paraId="0B045A2D" w14:textId="5200B704" w:rsidR="00344A3B" w:rsidRPr="005B37F0" w:rsidRDefault="00344A3B" w:rsidP="005B37F0">
          <w:pPr>
            <w:pStyle w:val="TOCHeading"/>
            <w:keepNext w:val="0"/>
            <w:keepLines w:val="0"/>
            <w:spacing w:before="0" w:line="240" w:lineRule="atLeast"/>
            <w:rPr>
              <w:rFonts w:ascii="Arial" w:hAnsi="Arial" w:cs="Arial"/>
              <w:color w:val="auto"/>
              <w:sz w:val="20"/>
              <w:szCs w:val="20"/>
              <w:lang w:val="en-GB"/>
            </w:rPr>
          </w:pPr>
        </w:p>
        <w:p w14:paraId="7A9BF152" w14:textId="6631A1B9" w:rsidR="00390A86" w:rsidRPr="005B37F0" w:rsidRDefault="00344A3B" w:rsidP="005B37F0">
          <w:pPr>
            <w:pStyle w:val="TOC1"/>
            <w:rPr>
              <w:rStyle w:val="Hyperlink"/>
            </w:rPr>
          </w:pPr>
          <w:r w:rsidRPr="005B37F0">
            <w:rPr>
              <w:noProof w:val="0"/>
            </w:rPr>
            <w:fldChar w:fldCharType="begin"/>
          </w:r>
          <w:r w:rsidRPr="005B37F0">
            <w:rPr>
              <w:noProof w:val="0"/>
            </w:rPr>
            <w:instrText xml:space="preserve"> TOC \o "1-3" \h \z \u </w:instrText>
          </w:r>
          <w:r w:rsidRPr="005B37F0">
            <w:rPr>
              <w:noProof w:val="0"/>
            </w:rPr>
            <w:fldChar w:fldCharType="separate"/>
          </w:r>
          <w:hyperlink w:anchor="_Toc202427388" w:history="1">
            <w:r w:rsidR="00390A86" w:rsidRPr="005B37F0">
              <w:rPr>
                <w:rStyle w:val="Hyperlink"/>
              </w:rPr>
              <w:t>1</w:t>
            </w:r>
            <w:r w:rsidR="00390A86" w:rsidRPr="005B37F0">
              <w:rPr>
                <w:rFonts w:eastAsiaTheme="minorEastAsia"/>
                <w:sz w:val="22"/>
                <w:szCs w:val="22"/>
                <w:lang w:eastAsia="en-GB"/>
              </w:rPr>
              <w:tab/>
            </w:r>
            <w:r w:rsidR="00390A86" w:rsidRPr="005B37F0">
              <w:rPr>
                <w:rStyle w:val="Hyperlink"/>
              </w:rPr>
              <w:t>Background</w:t>
            </w:r>
            <w:r w:rsidR="00390A86" w:rsidRPr="005B37F0">
              <w:rPr>
                <w:webHidden/>
              </w:rPr>
              <w:tab/>
            </w:r>
            <w:r w:rsidR="00390A86" w:rsidRPr="005B37F0">
              <w:rPr>
                <w:webHidden/>
              </w:rPr>
              <w:fldChar w:fldCharType="begin"/>
            </w:r>
            <w:r w:rsidR="00390A86" w:rsidRPr="005B37F0">
              <w:rPr>
                <w:webHidden/>
              </w:rPr>
              <w:instrText xml:space="preserve"> PAGEREF _Toc202427388 \h </w:instrText>
            </w:r>
            <w:r w:rsidR="00390A86" w:rsidRPr="005B37F0">
              <w:rPr>
                <w:webHidden/>
              </w:rPr>
            </w:r>
            <w:r w:rsidR="00390A86" w:rsidRPr="005B37F0">
              <w:rPr>
                <w:webHidden/>
              </w:rPr>
              <w:fldChar w:fldCharType="separate"/>
            </w:r>
            <w:r w:rsidR="00310E31">
              <w:rPr>
                <w:webHidden/>
              </w:rPr>
              <w:t>3</w:t>
            </w:r>
            <w:r w:rsidR="00390A86" w:rsidRPr="005B37F0">
              <w:rPr>
                <w:webHidden/>
              </w:rPr>
              <w:fldChar w:fldCharType="end"/>
            </w:r>
          </w:hyperlink>
        </w:p>
        <w:p w14:paraId="5F68B5E3" w14:textId="77777777" w:rsidR="00390A86" w:rsidRPr="005B37F0" w:rsidRDefault="00390A86" w:rsidP="005B37F0">
          <w:pPr>
            <w:rPr>
              <w:rFonts w:eastAsiaTheme="minorEastAsia" w:cs="Arial"/>
              <w:noProof/>
              <w:lang w:eastAsia="en-US"/>
            </w:rPr>
          </w:pPr>
        </w:p>
        <w:p w14:paraId="4B85C8E8" w14:textId="0018FB06" w:rsidR="00390A86" w:rsidRPr="005B37F0" w:rsidRDefault="004A441D" w:rsidP="005B37F0">
          <w:pPr>
            <w:pStyle w:val="TOC1"/>
            <w:rPr>
              <w:rStyle w:val="Hyperlink"/>
            </w:rPr>
          </w:pPr>
          <w:hyperlink w:anchor="_Toc202427389" w:history="1">
            <w:r w:rsidR="00390A86" w:rsidRPr="005B37F0">
              <w:rPr>
                <w:rStyle w:val="Hyperlink"/>
              </w:rPr>
              <w:t>2</w:t>
            </w:r>
            <w:r w:rsidR="00390A86" w:rsidRPr="005B37F0">
              <w:rPr>
                <w:rFonts w:eastAsiaTheme="minorEastAsia"/>
                <w:sz w:val="22"/>
                <w:szCs w:val="22"/>
                <w:lang w:eastAsia="en-GB"/>
              </w:rPr>
              <w:tab/>
            </w:r>
            <w:r w:rsidR="00390A86" w:rsidRPr="005B37F0">
              <w:rPr>
                <w:rStyle w:val="Hyperlink"/>
              </w:rPr>
              <w:t>Objectives and scope of eligible projects</w:t>
            </w:r>
            <w:r w:rsidR="00390A86" w:rsidRPr="005B37F0">
              <w:rPr>
                <w:webHidden/>
              </w:rPr>
              <w:tab/>
            </w:r>
            <w:r w:rsidR="00390A86" w:rsidRPr="005B37F0">
              <w:rPr>
                <w:webHidden/>
              </w:rPr>
              <w:fldChar w:fldCharType="begin"/>
            </w:r>
            <w:r w:rsidR="00390A86" w:rsidRPr="005B37F0">
              <w:rPr>
                <w:webHidden/>
              </w:rPr>
              <w:instrText xml:space="preserve"> PAGEREF _Toc202427389 \h </w:instrText>
            </w:r>
            <w:r w:rsidR="00390A86" w:rsidRPr="005B37F0">
              <w:rPr>
                <w:webHidden/>
              </w:rPr>
            </w:r>
            <w:r w:rsidR="00390A86" w:rsidRPr="005B37F0">
              <w:rPr>
                <w:webHidden/>
              </w:rPr>
              <w:fldChar w:fldCharType="separate"/>
            </w:r>
            <w:r w:rsidR="00310E31">
              <w:rPr>
                <w:webHidden/>
              </w:rPr>
              <w:t>3</w:t>
            </w:r>
            <w:r w:rsidR="00390A86" w:rsidRPr="005B37F0">
              <w:rPr>
                <w:webHidden/>
              </w:rPr>
              <w:fldChar w:fldCharType="end"/>
            </w:r>
          </w:hyperlink>
        </w:p>
        <w:p w14:paraId="5B7B6E5D" w14:textId="77777777" w:rsidR="00390A86" w:rsidRPr="005B37F0" w:rsidRDefault="00390A86" w:rsidP="005B37F0">
          <w:pPr>
            <w:rPr>
              <w:rFonts w:eastAsiaTheme="minorEastAsia" w:cs="Arial"/>
              <w:noProof/>
              <w:lang w:eastAsia="en-US"/>
            </w:rPr>
          </w:pPr>
        </w:p>
        <w:p w14:paraId="66793855" w14:textId="3EDAF9A5" w:rsidR="00390A86" w:rsidRPr="005B37F0" w:rsidRDefault="004A441D" w:rsidP="005B37F0">
          <w:pPr>
            <w:pStyle w:val="TOC1"/>
            <w:rPr>
              <w:rStyle w:val="Hyperlink"/>
            </w:rPr>
          </w:pPr>
          <w:hyperlink w:anchor="_Toc202427390" w:history="1">
            <w:r w:rsidR="00390A86" w:rsidRPr="005B37F0">
              <w:rPr>
                <w:rStyle w:val="Hyperlink"/>
              </w:rPr>
              <w:t>3</w:t>
            </w:r>
            <w:r w:rsidR="00390A86" w:rsidRPr="005B37F0">
              <w:rPr>
                <w:rFonts w:eastAsiaTheme="minorEastAsia"/>
                <w:sz w:val="22"/>
                <w:szCs w:val="22"/>
                <w:lang w:eastAsia="en-GB"/>
              </w:rPr>
              <w:tab/>
            </w:r>
            <w:r w:rsidR="00390A86" w:rsidRPr="005B37F0">
              <w:rPr>
                <w:rStyle w:val="Hyperlink"/>
              </w:rPr>
              <w:t>Evaluation and selection of proposals</w:t>
            </w:r>
            <w:r w:rsidR="00390A86" w:rsidRPr="005B37F0">
              <w:rPr>
                <w:webHidden/>
              </w:rPr>
              <w:tab/>
            </w:r>
            <w:r w:rsidR="00390A86" w:rsidRPr="005B37F0">
              <w:rPr>
                <w:webHidden/>
              </w:rPr>
              <w:fldChar w:fldCharType="begin"/>
            </w:r>
            <w:r w:rsidR="00390A86" w:rsidRPr="005B37F0">
              <w:rPr>
                <w:webHidden/>
              </w:rPr>
              <w:instrText xml:space="preserve"> PAGEREF _Toc202427390 \h </w:instrText>
            </w:r>
            <w:r w:rsidR="00390A86" w:rsidRPr="005B37F0">
              <w:rPr>
                <w:webHidden/>
              </w:rPr>
            </w:r>
            <w:r w:rsidR="00390A86" w:rsidRPr="005B37F0">
              <w:rPr>
                <w:webHidden/>
              </w:rPr>
              <w:fldChar w:fldCharType="separate"/>
            </w:r>
            <w:r w:rsidR="00310E31">
              <w:rPr>
                <w:webHidden/>
              </w:rPr>
              <w:t>4</w:t>
            </w:r>
            <w:r w:rsidR="00390A86" w:rsidRPr="005B37F0">
              <w:rPr>
                <w:webHidden/>
              </w:rPr>
              <w:fldChar w:fldCharType="end"/>
            </w:r>
          </w:hyperlink>
        </w:p>
        <w:p w14:paraId="75B53932" w14:textId="77777777" w:rsidR="00390A86" w:rsidRPr="005B37F0" w:rsidRDefault="00390A86" w:rsidP="005B37F0">
          <w:pPr>
            <w:rPr>
              <w:rFonts w:eastAsiaTheme="minorEastAsia" w:cs="Arial"/>
              <w:noProof/>
              <w:lang w:eastAsia="en-US"/>
            </w:rPr>
          </w:pPr>
        </w:p>
        <w:p w14:paraId="5372FCBB" w14:textId="537D33D3" w:rsidR="00390A86" w:rsidRPr="005B37F0" w:rsidRDefault="004A441D" w:rsidP="005B37F0">
          <w:pPr>
            <w:pStyle w:val="TOC1"/>
            <w:rPr>
              <w:rStyle w:val="Hyperlink"/>
            </w:rPr>
          </w:pPr>
          <w:hyperlink w:anchor="_Toc202427391" w:history="1">
            <w:r w:rsidR="00390A86" w:rsidRPr="005B37F0">
              <w:rPr>
                <w:rStyle w:val="Hyperlink"/>
              </w:rPr>
              <w:t>4</w:t>
            </w:r>
            <w:r w:rsidR="00390A86" w:rsidRPr="005B37F0">
              <w:rPr>
                <w:rFonts w:eastAsiaTheme="minorEastAsia"/>
                <w:sz w:val="22"/>
                <w:szCs w:val="22"/>
                <w:lang w:eastAsia="en-GB"/>
              </w:rPr>
              <w:tab/>
            </w:r>
            <w:r w:rsidR="00390A86" w:rsidRPr="005B37F0">
              <w:rPr>
                <w:rStyle w:val="Hyperlink"/>
              </w:rPr>
              <w:t>Financing principles</w:t>
            </w:r>
            <w:r w:rsidR="00390A86" w:rsidRPr="005B37F0">
              <w:rPr>
                <w:webHidden/>
              </w:rPr>
              <w:tab/>
            </w:r>
            <w:r w:rsidR="00390A86" w:rsidRPr="005B37F0">
              <w:rPr>
                <w:webHidden/>
              </w:rPr>
              <w:fldChar w:fldCharType="begin"/>
            </w:r>
            <w:r w:rsidR="00390A86" w:rsidRPr="005B37F0">
              <w:rPr>
                <w:webHidden/>
              </w:rPr>
              <w:instrText xml:space="preserve"> PAGEREF _Toc202427391 \h </w:instrText>
            </w:r>
            <w:r w:rsidR="00390A86" w:rsidRPr="005B37F0">
              <w:rPr>
                <w:webHidden/>
              </w:rPr>
            </w:r>
            <w:r w:rsidR="00390A86" w:rsidRPr="005B37F0">
              <w:rPr>
                <w:webHidden/>
              </w:rPr>
              <w:fldChar w:fldCharType="separate"/>
            </w:r>
            <w:r w:rsidR="00310E31">
              <w:rPr>
                <w:webHidden/>
              </w:rPr>
              <w:t>5</w:t>
            </w:r>
            <w:r w:rsidR="00390A86" w:rsidRPr="005B37F0">
              <w:rPr>
                <w:webHidden/>
              </w:rPr>
              <w:fldChar w:fldCharType="end"/>
            </w:r>
          </w:hyperlink>
        </w:p>
        <w:p w14:paraId="39E74B96" w14:textId="77777777" w:rsidR="00390A86" w:rsidRPr="005B37F0" w:rsidRDefault="00390A86" w:rsidP="005B37F0">
          <w:pPr>
            <w:rPr>
              <w:rFonts w:eastAsiaTheme="minorEastAsia" w:cs="Arial"/>
              <w:noProof/>
              <w:lang w:eastAsia="en-US"/>
            </w:rPr>
          </w:pPr>
        </w:p>
        <w:p w14:paraId="7D566254" w14:textId="1BF762DD" w:rsidR="00390A86" w:rsidRPr="005B37F0" w:rsidRDefault="004A441D" w:rsidP="005B37F0">
          <w:pPr>
            <w:pStyle w:val="TOC1"/>
            <w:rPr>
              <w:rFonts w:eastAsiaTheme="minorEastAsia"/>
              <w:sz w:val="22"/>
              <w:szCs w:val="22"/>
              <w:lang w:eastAsia="en-GB"/>
            </w:rPr>
          </w:pPr>
          <w:hyperlink w:anchor="_Toc202427392" w:history="1">
            <w:r w:rsidR="00390A86" w:rsidRPr="005B37F0">
              <w:rPr>
                <w:rStyle w:val="Hyperlink"/>
              </w:rPr>
              <w:t>5</w:t>
            </w:r>
            <w:r w:rsidR="00390A86" w:rsidRPr="005B37F0">
              <w:rPr>
                <w:rFonts w:eastAsiaTheme="minorEastAsia"/>
                <w:sz w:val="22"/>
                <w:szCs w:val="22"/>
                <w:lang w:eastAsia="en-GB"/>
              </w:rPr>
              <w:tab/>
            </w:r>
            <w:r w:rsidR="00390A86" w:rsidRPr="005B37F0">
              <w:rPr>
                <w:rStyle w:val="Hyperlink"/>
              </w:rPr>
              <w:t>Application procedure</w:t>
            </w:r>
            <w:r w:rsidR="00390A86" w:rsidRPr="005B37F0">
              <w:rPr>
                <w:webHidden/>
              </w:rPr>
              <w:tab/>
            </w:r>
            <w:r w:rsidR="00390A86" w:rsidRPr="005B37F0">
              <w:rPr>
                <w:webHidden/>
              </w:rPr>
              <w:fldChar w:fldCharType="begin"/>
            </w:r>
            <w:r w:rsidR="00390A86" w:rsidRPr="005B37F0">
              <w:rPr>
                <w:webHidden/>
              </w:rPr>
              <w:instrText xml:space="preserve"> PAGEREF _Toc202427392 \h </w:instrText>
            </w:r>
            <w:r w:rsidR="00390A86" w:rsidRPr="005B37F0">
              <w:rPr>
                <w:webHidden/>
              </w:rPr>
            </w:r>
            <w:r w:rsidR="00390A86" w:rsidRPr="005B37F0">
              <w:rPr>
                <w:webHidden/>
              </w:rPr>
              <w:fldChar w:fldCharType="separate"/>
            </w:r>
            <w:r w:rsidR="00310E31">
              <w:rPr>
                <w:webHidden/>
              </w:rPr>
              <w:t>5</w:t>
            </w:r>
            <w:r w:rsidR="00390A86" w:rsidRPr="005B37F0">
              <w:rPr>
                <w:webHidden/>
              </w:rPr>
              <w:fldChar w:fldCharType="end"/>
            </w:r>
          </w:hyperlink>
        </w:p>
        <w:p w14:paraId="651D8181" w14:textId="77777777" w:rsidR="00390A86" w:rsidRPr="005B37F0" w:rsidRDefault="00344A3B" w:rsidP="005B37F0">
          <w:pPr>
            <w:rPr>
              <w:rFonts w:cs="Arial"/>
              <w:b/>
              <w:bCs/>
            </w:rPr>
          </w:pPr>
          <w:r w:rsidRPr="005B37F0">
            <w:rPr>
              <w:rFonts w:cs="Arial"/>
              <w:b/>
              <w:bCs/>
            </w:rPr>
            <w:fldChar w:fldCharType="end"/>
          </w:r>
        </w:p>
        <w:p w14:paraId="3A11E023" w14:textId="77777777" w:rsidR="00390A86" w:rsidRPr="005B37F0" w:rsidRDefault="00390A86" w:rsidP="005B37F0">
          <w:pPr>
            <w:rPr>
              <w:rFonts w:cs="Arial"/>
              <w:b/>
              <w:bCs/>
            </w:rPr>
          </w:pPr>
          <w:r w:rsidRPr="005B37F0">
            <w:rPr>
              <w:rFonts w:cs="Arial"/>
              <w:b/>
              <w:bCs/>
            </w:rPr>
            <w:t>Annexes</w:t>
          </w:r>
        </w:p>
        <w:p w14:paraId="5AD07841" w14:textId="77777777" w:rsidR="00390A86" w:rsidRPr="005B37F0" w:rsidRDefault="00390A86" w:rsidP="005B37F0">
          <w:pPr>
            <w:rPr>
              <w:rFonts w:cs="Arial"/>
            </w:rPr>
          </w:pPr>
        </w:p>
        <w:p w14:paraId="0AA231C7" w14:textId="77777777" w:rsidR="00390A86" w:rsidRPr="005B37F0" w:rsidRDefault="00390A86" w:rsidP="005B37F0">
          <w:pPr>
            <w:rPr>
              <w:rFonts w:cs="Arial"/>
            </w:rPr>
          </w:pPr>
          <w:r w:rsidRPr="005B37F0">
            <w:rPr>
              <w:rFonts w:cs="Arial"/>
            </w:rPr>
            <w:t>Annex 1: Project proposal form</w:t>
          </w:r>
        </w:p>
        <w:p w14:paraId="0B5C62CF" w14:textId="77777777" w:rsidR="00390A86" w:rsidRPr="005B37F0" w:rsidRDefault="00390A86" w:rsidP="005B37F0">
          <w:pPr>
            <w:rPr>
              <w:rFonts w:cs="Arial"/>
            </w:rPr>
          </w:pPr>
        </w:p>
        <w:p w14:paraId="1574BA5F" w14:textId="7247458F" w:rsidR="001D6613" w:rsidRPr="005B37F0" w:rsidRDefault="00390A86" w:rsidP="005B37F0">
          <w:pPr>
            <w:rPr>
              <w:rFonts w:cs="Arial"/>
              <w:b/>
              <w:bCs/>
            </w:rPr>
          </w:pPr>
          <w:r w:rsidRPr="005B37F0">
            <w:rPr>
              <w:rFonts w:cs="Arial"/>
            </w:rPr>
            <w:t>Annex 2: Project budget form</w:t>
          </w:r>
        </w:p>
      </w:sdtContent>
    </w:sdt>
    <w:p w14:paraId="576B5D14" w14:textId="77777777" w:rsidR="002F56C2" w:rsidRPr="005B37F0" w:rsidRDefault="002F56C2" w:rsidP="005B37F0">
      <w:pPr>
        <w:rPr>
          <w:rFonts w:cs="Arial"/>
          <w:b/>
          <w:bCs/>
        </w:rPr>
      </w:pPr>
      <w:bookmarkStart w:id="1" w:name="_Toc20148258"/>
      <w:bookmarkStart w:id="2" w:name="_Toc153073158"/>
      <w:bookmarkStart w:id="3" w:name="_Ref526581552"/>
      <w:bookmarkStart w:id="4" w:name="_Toc332966896"/>
      <w:bookmarkStart w:id="5" w:name="_Toc43914694"/>
      <w:bookmarkStart w:id="6" w:name="_Toc59526402"/>
      <w:bookmarkStart w:id="7" w:name="DDE_LINK2"/>
      <w:r w:rsidRPr="005B37F0">
        <w:rPr>
          <w:rFonts w:cs="Arial"/>
        </w:rPr>
        <w:br w:type="page"/>
      </w:r>
    </w:p>
    <w:p w14:paraId="2F08B220" w14:textId="77FCDEFA" w:rsidR="0079796F" w:rsidRPr="005B37F0" w:rsidRDefault="0014210B" w:rsidP="005B37F0">
      <w:pPr>
        <w:pStyle w:val="Heading1"/>
        <w:numPr>
          <w:ilvl w:val="0"/>
          <w:numId w:val="28"/>
        </w:numPr>
        <w:rPr>
          <w:rFonts w:cs="Arial"/>
        </w:rPr>
      </w:pPr>
      <w:bookmarkStart w:id="8" w:name="_Toc202427388"/>
      <w:bookmarkStart w:id="9" w:name="_Toc153073159"/>
      <w:bookmarkStart w:id="10" w:name="_Toc435926701"/>
      <w:bookmarkEnd w:id="1"/>
      <w:bookmarkEnd w:id="2"/>
      <w:bookmarkEnd w:id="3"/>
      <w:bookmarkEnd w:id="4"/>
      <w:bookmarkEnd w:id="5"/>
      <w:bookmarkEnd w:id="6"/>
      <w:r w:rsidRPr="005B37F0">
        <w:rPr>
          <w:rFonts w:cs="Arial"/>
        </w:rPr>
        <w:lastRenderedPageBreak/>
        <w:t>Background</w:t>
      </w:r>
      <w:bookmarkEnd w:id="8"/>
    </w:p>
    <w:bookmarkEnd w:id="9"/>
    <w:bookmarkEnd w:id="10"/>
    <w:p w14:paraId="539D7C32" w14:textId="77777777" w:rsidR="00A116AF" w:rsidRPr="005B37F0" w:rsidRDefault="00A116AF" w:rsidP="005B37F0">
      <w:pPr>
        <w:rPr>
          <w:rFonts w:cs="Arial"/>
        </w:rPr>
      </w:pPr>
    </w:p>
    <w:p w14:paraId="506D14FA" w14:textId="3BCE448F" w:rsidR="0014210B" w:rsidRPr="005B37F0" w:rsidRDefault="0014210B" w:rsidP="005B37F0">
      <w:pPr>
        <w:jc w:val="both"/>
        <w:rPr>
          <w:rFonts w:cs="Arial"/>
        </w:rPr>
      </w:pPr>
      <w:r w:rsidRPr="005B37F0">
        <w:rPr>
          <w:rFonts w:cs="Arial"/>
        </w:rPr>
        <w:t>Designated operators (DOs) have traditionally been strong financial inclusion actors, leveraging their vast physical network, proximity to populations and long experience in the provision of financial services. Postal networks address issues of accessibility, affordability and trust, and have the potential to be well-suited chan</w:t>
      </w:r>
      <w:r w:rsidR="005B37F0" w:rsidRPr="005B37F0">
        <w:rPr>
          <w:rFonts w:cs="Arial"/>
        </w:rPr>
        <w:softHyphen/>
      </w:r>
      <w:r w:rsidRPr="005B37F0">
        <w:rPr>
          <w:rFonts w:cs="Arial"/>
        </w:rPr>
        <w:t xml:space="preserve">nels to provide access to digital financial and insurance solutions, either as standalone providers or through partnerships. </w:t>
      </w:r>
    </w:p>
    <w:p w14:paraId="03CA9B42" w14:textId="77777777" w:rsidR="0014210B" w:rsidRPr="005B37F0" w:rsidRDefault="0014210B" w:rsidP="005B37F0">
      <w:pPr>
        <w:jc w:val="both"/>
        <w:rPr>
          <w:rFonts w:cs="Arial"/>
        </w:rPr>
      </w:pPr>
    </w:p>
    <w:p w14:paraId="0EB2DDB0" w14:textId="2011140B" w:rsidR="0014210B" w:rsidRPr="005B37F0" w:rsidRDefault="0014210B" w:rsidP="005B37F0">
      <w:pPr>
        <w:jc w:val="both"/>
        <w:rPr>
          <w:rFonts w:cs="Arial"/>
        </w:rPr>
      </w:pPr>
      <w:r w:rsidRPr="005B37F0">
        <w:rPr>
          <w:rFonts w:cs="Arial"/>
        </w:rPr>
        <w:t>In alignment with its four financial inclusion pillars – digital payments, digital savings, inclusive insurance and microfinance – the UPU is promoting digital insurance partnerships and collaborations to support the national financial inclusion goals of member countries. Recently, the UPU and AXA SA (AXA) completed a global research study on the deployment and expansion of postal inclusive insurance solutions within the UPU net</w:t>
      </w:r>
      <w:r w:rsidR="005B37F0" w:rsidRPr="005B37F0">
        <w:rPr>
          <w:rFonts w:cs="Arial"/>
        </w:rPr>
        <w:softHyphen/>
      </w:r>
      <w:r w:rsidRPr="005B37F0">
        <w:rPr>
          <w:rFonts w:cs="Arial"/>
        </w:rPr>
        <w:t xml:space="preserve">work. The research study highlighted key important learnings, operating models, customer insights and best practices that were gathered from six global postal markets where postal inclusive insurance solutions exist. </w:t>
      </w:r>
      <w:r w:rsidRPr="007E0F4E">
        <w:rPr>
          <w:rFonts w:cs="Arial"/>
        </w:rPr>
        <w:t>(</w:t>
      </w:r>
      <w:hyperlink r:id="rId11" w:history="1">
        <w:r w:rsidR="007E0F4E" w:rsidRPr="007E0F4E">
          <w:rPr>
            <w:rStyle w:val="Hyperlink"/>
            <w:rFonts w:cs="Arial"/>
          </w:rPr>
          <w:t>https://www.upu.int/en/publications/financial-inclusion/scalingup-postal-inclusive-insurance</w:t>
        </w:r>
      </w:hyperlink>
      <w:r w:rsidRPr="007E0F4E">
        <w:rPr>
          <w:rFonts w:cs="Arial"/>
        </w:rPr>
        <w:t>)</w:t>
      </w:r>
    </w:p>
    <w:p w14:paraId="7EEF70F1" w14:textId="77777777" w:rsidR="0014210B" w:rsidRPr="005B37F0" w:rsidRDefault="0014210B" w:rsidP="005B37F0">
      <w:pPr>
        <w:jc w:val="both"/>
        <w:rPr>
          <w:rFonts w:cs="Arial"/>
        </w:rPr>
      </w:pPr>
    </w:p>
    <w:p w14:paraId="42CCBCBF" w14:textId="77777777" w:rsidR="0014210B" w:rsidRPr="005B37F0" w:rsidRDefault="0014210B" w:rsidP="005B37F0">
      <w:pPr>
        <w:jc w:val="both"/>
        <w:rPr>
          <w:rFonts w:cs="Arial"/>
        </w:rPr>
      </w:pPr>
      <w:r w:rsidRPr="005B37F0">
        <w:rPr>
          <w:rFonts w:cs="Arial"/>
        </w:rPr>
        <w:t>To support and act on the research insights and findings, the UPU has established a collaboration framework with AXA and CNP Assurances (CNP) to form and launch the Postal Insurance Technical Assistance Facility (PITAF). The primary goal of PITAF is to advance the role of DOs in delivering relevant insurance solutions and capabilities to their postal customers in close collaboration with PITAF partners, such as AXA and CNP. These private-sector players will help to deliver the latest innovations, insights and models for postal insurance related protection options in support of implementing inclusive insurance solutions within postal networks.</w:t>
      </w:r>
    </w:p>
    <w:p w14:paraId="4371B424" w14:textId="77777777" w:rsidR="0014210B" w:rsidRPr="005B37F0" w:rsidRDefault="0014210B" w:rsidP="005B37F0">
      <w:pPr>
        <w:jc w:val="both"/>
        <w:rPr>
          <w:rFonts w:cs="Arial"/>
        </w:rPr>
      </w:pPr>
    </w:p>
    <w:p w14:paraId="0958A74C" w14:textId="7D32DDB6" w:rsidR="00A116AF" w:rsidRPr="005B37F0" w:rsidRDefault="0014210B" w:rsidP="005B37F0">
      <w:pPr>
        <w:jc w:val="both"/>
        <w:rPr>
          <w:rFonts w:cs="Arial"/>
        </w:rPr>
      </w:pPr>
      <w:r w:rsidRPr="005B37F0">
        <w:rPr>
          <w:rFonts w:cs="Arial"/>
        </w:rPr>
        <w:t>The UPU is offering the DOs of UPU member countries the opportunity to apply for one of the PITAF pro</w:t>
      </w:r>
      <w:r w:rsidR="005B37F0" w:rsidRPr="005B37F0">
        <w:rPr>
          <w:rFonts w:cs="Arial"/>
        </w:rPr>
        <w:softHyphen/>
      </w:r>
      <w:r w:rsidRPr="005B37F0">
        <w:rPr>
          <w:rFonts w:cs="Arial"/>
        </w:rPr>
        <w:t>gramme</w:t>
      </w:r>
      <w:r w:rsidR="005B37F0" w:rsidRPr="005B37F0">
        <w:rPr>
          <w:rFonts w:cs="Arial"/>
        </w:rPr>
        <w:t>’</w:t>
      </w:r>
      <w:r w:rsidRPr="005B37F0">
        <w:rPr>
          <w:rFonts w:cs="Arial"/>
        </w:rPr>
        <w:t>s grants. The PITAF programme will provide seed funding and hands-on support to help DOs in designing, piloting or scaling relevant insurance products, either directly or in partnership with insurers, that align with national financial inclusion goals. To ensure the effective implementation of the PITAF programme and achieve the desired impacts, the engagement of insurance partners and their inclusive insurance experts will be critical. Their knowledge sharing, advice, and recommendations on the insurance business models to be employed by the participating DOs will help ensure project success.</w:t>
      </w:r>
    </w:p>
    <w:p w14:paraId="6745DB0C" w14:textId="5B3BD34B" w:rsidR="00A14520" w:rsidRPr="005B37F0" w:rsidRDefault="00A14520" w:rsidP="005B37F0">
      <w:pPr>
        <w:pStyle w:val="0Textedebase"/>
        <w:rPr>
          <w:rFonts w:cs="Arial"/>
        </w:rPr>
      </w:pPr>
      <w:bookmarkStart w:id="11" w:name="_Toc153073160"/>
      <w:bookmarkStart w:id="12" w:name="_Toc528119904"/>
      <w:bookmarkStart w:id="13" w:name="_Toc435926735"/>
      <w:bookmarkStart w:id="14" w:name="_Toc435926733"/>
      <w:bookmarkStart w:id="15" w:name="_Ref526321031"/>
    </w:p>
    <w:p w14:paraId="2125BCE3" w14:textId="77777777" w:rsidR="00A14520" w:rsidRPr="005B37F0" w:rsidRDefault="00A14520" w:rsidP="005B37F0">
      <w:pPr>
        <w:pStyle w:val="0Textedebase"/>
        <w:rPr>
          <w:rFonts w:cs="Arial"/>
        </w:rPr>
      </w:pPr>
    </w:p>
    <w:p w14:paraId="2167A918" w14:textId="3EE57BF9" w:rsidR="0079796F" w:rsidRPr="005B37F0" w:rsidRDefault="0014210B" w:rsidP="005B37F0">
      <w:pPr>
        <w:pStyle w:val="Heading1"/>
        <w:numPr>
          <w:ilvl w:val="0"/>
          <w:numId w:val="28"/>
        </w:numPr>
        <w:rPr>
          <w:rFonts w:cs="Arial"/>
        </w:rPr>
      </w:pPr>
      <w:bookmarkStart w:id="16" w:name="_Toc202427389"/>
      <w:r w:rsidRPr="005B37F0">
        <w:rPr>
          <w:rFonts w:cs="Arial"/>
        </w:rPr>
        <w:t>Objectives and scope of eligible projects</w:t>
      </w:r>
      <w:bookmarkEnd w:id="16"/>
    </w:p>
    <w:p w14:paraId="20CEB159" w14:textId="2731568E" w:rsidR="0079796F" w:rsidRPr="005B37F0" w:rsidRDefault="0079796F" w:rsidP="005B37F0">
      <w:pPr>
        <w:widowControl w:val="0"/>
        <w:jc w:val="both"/>
        <w:rPr>
          <w:rFonts w:cs="Arial"/>
        </w:rPr>
      </w:pPr>
    </w:p>
    <w:p w14:paraId="10E2EDC1" w14:textId="77777777" w:rsidR="0014210B" w:rsidRPr="005B37F0" w:rsidRDefault="0014210B" w:rsidP="005B37F0">
      <w:pPr>
        <w:widowControl w:val="0"/>
        <w:jc w:val="both"/>
        <w:rPr>
          <w:rFonts w:cs="Arial"/>
        </w:rPr>
      </w:pPr>
      <w:r w:rsidRPr="005B37F0">
        <w:rPr>
          <w:rFonts w:cs="Arial"/>
        </w:rPr>
        <w:t>The UPU will provide seed funding to support the selected projects that meet the criteria defined below (subject to the conclusion of the relevant contractual instrument between the UPU and the participating DO), with a priority focus on projects fostering, enabling and deploying postal inclusive insurance capabilities.</w:t>
      </w:r>
    </w:p>
    <w:p w14:paraId="6CC7CA32" w14:textId="77777777" w:rsidR="0014210B" w:rsidRPr="005B37F0" w:rsidRDefault="0014210B" w:rsidP="005B37F0">
      <w:pPr>
        <w:widowControl w:val="0"/>
        <w:jc w:val="both"/>
        <w:rPr>
          <w:rFonts w:cs="Arial"/>
        </w:rPr>
      </w:pPr>
    </w:p>
    <w:p w14:paraId="47A4CC23" w14:textId="77777777" w:rsidR="0014210B" w:rsidRPr="005B37F0" w:rsidRDefault="0014210B" w:rsidP="005B37F0">
      <w:pPr>
        <w:widowControl w:val="0"/>
        <w:jc w:val="both"/>
        <w:rPr>
          <w:rFonts w:cs="Arial"/>
        </w:rPr>
      </w:pPr>
      <w:r w:rsidRPr="005B37F0">
        <w:rPr>
          <w:rFonts w:cs="Arial"/>
        </w:rPr>
        <w:t>These projects should pursue some of the following goals:</w:t>
      </w:r>
    </w:p>
    <w:p w14:paraId="18382AD1" w14:textId="1852388D" w:rsidR="0014210B" w:rsidRPr="005B37F0" w:rsidRDefault="0014210B" w:rsidP="005B37F0">
      <w:pPr>
        <w:pStyle w:val="1Premierretrait"/>
        <w:rPr>
          <w:rFonts w:cs="Arial"/>
        </w:rPr>
      </w:pPr>
      <w:r w:rsidRPr="005B37F0">
        <w:rPr>
          <w:rFonts w:cs="Arial"/>
        </w:rPr>
        <w:t>Develop customer-centred inclusive insurance products for vulnerable groups (e.g., women; micro, small and medium-sized enterprises (MSMEs); farmers; youth; elderly individuals).</w:t>
      </w:r>
    </w:p>
    <w:p w14:paraId="3DCF4E12" w14:textId="54D9EF6C" w:rsidR="0014210B" w:rsidRPr="005B37F0" w:rsidRDefault="0014210B" w:rsidP="005B37F0">
      <w:pPr>
        <w:pStyle w:val="1Premierretrait"/>
        <w:rPr>
          <w:rFonts w:cs="Arial"/>
        </w:rPr>
      </w:pPr>
      <w:r w:rsidRPr="005B37F0">
        <w:rPr>
          <w:rFonts w:cs="Arial"/>
        </w:rPr>
        <w:t>Promote innovative product design and the simplification of the customer experience through a stream</w:t>
      </w:r>
      <w:r w:rsidR="005B37F0" w:rsidRPr="005B37F0">
        <w:rPr>
          <w:rFonts w:cs="Arial"/>
        </w:rPr>
        <w:softHyphen/>
      </w:r>
      <w:r w:rsidRPr="005B37F0">
        <w:rPr>
          <w:rFonts w:cs="Arial"/>
        </w:rPr>
        <w:t xml:space="preserve">lined inclusive insurance process that incorporates the needs of customers, while aligning with the PITAF project objectives. </w:t>
      </w:r>
    </w:p>
    <w:p w14:paraId="54F2E094" w14:textId="2F48343C" w:rsidR="0014210B" w:rsidRPr="005B37F0" w:rsidRDefault="0014210B" w:rsidP="005B37F0">
      <w:pPr>
        <w:pStyle w:val="1Premierretrait"/>
        <w:rPr>
          <w:rFonts w:cs="Arial"/>
        </w:rPr>
      </w:pPr>
      <w:r w:rsidRPr="005B37F0">
        <w:rPr>
          <w:rFonts w:cs="Arial"/>
        </w:rPr>
        <w:t>Diversify the DO</w:t>
      </w:r>
      <w:r w:rsidR="005B37F0" w:rsidRPr="005B37F0">
        <w:rPr>
          <w:rFonts w:cs="Arial"/>
        </w:rPr>
        <w:t>’</w:t>
      </w:r>
      <w:r w:rsidRPr="005B37F0">
        <w:rPr>
          <w:rFonts w:cs="Arial"/>
        </w:rPr>
        <w:t>s products and services to provide inclusive insurance offerings and strengthen its solutions and financial sustainability.</w:t>
      </w:r>
    </w:p>
    <w:p w14:paraId="049E7805" w14:textId="173D5BD4" w:rsidR="0014210B" w:rsidRPr="005B37F0" w:rsidRDefault="0014210B" w:rsidP="005B37F0">
      <w:pPr>
        <w:pStyle w:val="1Premierretrait"/>
        <w:rPr>
          <w:rFonts w:cs="Arial"/>
        </w:rPr>
      </w:pPr>
      <w:r w:rsidRPr="005B37F0">
        <w:rPr>
          <w:rFonts w:cs="Arial"/>
        </w:rPr>
        <w:t>Facilitate partnerships between various players, including DOs, insurance providers and governments, in order to create an enabling environment for inclusive insurance development.</w:t>
      </w:r>
    </w:p>
    <w:p w14:paraId="4E6EFAA8" w14:textId="06E84220" w:rsidR="0014210B" w:rsidRPr="005B37F0" w:rsidRDefault="0014210B" w:rsidP="005B37F0">
      <w:pPr>
        <w:pStyle w:val="1Premierretrait"/>
        <w:rPr>
          <w:rFonts w:cs="Arial"/>
        </w:rPr>
      </w:pPr>
      <w:r w:rsidRPr="005B37F0">
        <w:rPr>
          <w:rFonts w:cs="Arial"/>
        </w:rPr>
        <w:t>Support national financial inclusion goals.</w:t>
      </w:r>
    </w:p>
    <w:p w14:paraId="1292EAA2" w14:textId="2F04ED78" w:rsidR="0014210B" w:rsidRPr="005B37F0" w:rsidRDefault="0014210B" w:rsidP="005B37F0">
      <w:pPr>
        <w:pStyle w:val="1Premierretrait"/>
        <w:rPr>
          <w:rFonts w:cs="Arial"/>
        </w:rPr>
      </w:pPr>
      <w:r w:rsidRPr="005B37F0">
        <w:rPr>
          <w:rFonts w:cs="Arial"/>
        </w:rPr>
        <w:t>Offer capacity-building and insurance education training programmes, and provide a platform for knowledge sharing.</w:t>
      </w:r>
    </w:p>
    <w:p w14:paraId="293FF609" w14:textId="67112929" w:rsidR="0014210B" w:rsidRPr="005B37F0" w:rsidRDefault="0014210B" w:rsidP="005B37F0">
      <w:pPr>
        <w:pStyle w:val="1Premierretrait"/>
        <w:rPr>
          <w:rFonts w:cs="Arial"/>
        </w:rPr>
      </w:pPr>
      <w:r w:rsidRPr="005B37F0">
        <w:rPr>
          <w:rFonts w:cs="Arial"/>
        </w:rPr>
        <w:t>Examine and support the prospects of postal inclusive insurance regulatory provisions.</w:t>
      </w:r>
    </w:p>
    <w:p w14:paraId="15CE7F0E" w14:textId="768EFAC5" w:rsidR="0014210B" w:rsidRPr="005B37F0" w:rsidRDefault="0014210B" w:rsidP="005B37F0">
      <w:pPr>
        <w:pStyle w:val="1Premierretrait"/>
        <w:rPr>
          <w:rFonts w:cs="Arial"/>
        </w:rPr>
      </w:pPr>
      <w:r w:rsidRPr="005B37F0">
        <w:rPr>
          <w:rFonts w:cs="Arial"/>
        </w:rPr>
        <w:t>Ensure clearly defined project impacts on customers, on DOs and on financial inclusion policy.</w:t>
      </w:r>
    </w:p>
    <w:p w14:paraId="2DECF003" w14:textId="77777777" w:rsidR="0014210B" w:rsidRPr="005B37F0" w:rsidRDefault="0014210B" w:rsidP="005B37F0">
      <w:pPr>
        <w:widowControl w:val="0"/>
        <w:jc w:val="both"/>
        <w:rPr>
          <w:rFonts w:cs="Arial"/>
        </w:rPr>
      </w:pPr>
    </w:p>
    <w:p w14:paraId="172FC8B6" w14:textId="77777777" w:rsidR="005B37F0" w:rsidRPr="005B37F0" w:rsidRDefault="005B37F0" w:rsidP="005B37F0">
      <w:pPr>
        <w:widowControl w:val="0"/>
        <w:jc w:val="both"/>
        <w:rPr>
          <w:rFonts w:cs="Arial"/>
          <w:i/>
          <w:iCs/>
        </w:rPr>
      </w:pPr>
      <w:r w:rsidRPr="005B37F0">
        <w:rPr>
          <w:rFonts w:cs="Arial"/>
          <w:i/>
          <w:iCs/>
        </w:rPr>
        <w:br w:type="page"/>
      </w:r>
    </w:p>
    <w:p w14:paraId="75C07835" w14:textId="1FDA5D08" w:rsidR="0014210B" w:rsidRPr="005B37F0" w:rsidRDefault="0014210B" w:rsidP="005B37F0">
      <w:pPr>
        <w:widowControl w:val="0"/>
        <w:jc w:val="both"/>
        <w:rPr>
          <w:rFonts w:cs="Arial"/>
          <w:i/>
          <w:iCs/>
        </w:rPr>
      </w:pPr>
      <w:r w:rsidRPr="005B37F0">
        <w:rPr>
          <w:rFonts w:cs="Arial"/>
          <w:i/>
          <w:iCs/>
        </w:rPr>
        <w:lastRenderedPageBreak/>
        <w:t>Potential areas of focus</w:t>
      </w:r>
    </w:p>
    <w:p w14:paraId="72298997" w14:textId="77777777" w:rsidR="0014210B" w:rsidRPr="005B37F0" w:rsidRDefault="0014210B" w:rsidP="005B37F0">
      <w:pPr>
        <w:widowControl w:val="0"/>
        <w:jc w:val="both"/>
        <w:rPr>
          <w:rFonts w:cs="Arial"/>
        </w:rPr>
      </w:pPr>
    </w:p>
    <w:p w14:paraId="73D07047" w14:textId="1CFCAE7C" w:rsidR="0014210B" w:rsidRPr="005B37F0" w:rsidRDefault="0014210B" w:rsidP="005B37F0">
      <w:pPr>
        <w:pStyle w:val="1Premierretrait"/>
        <w:spacing w:before="0"/>
        <w:rPr>
          <w:rFonts w:cs="Arial"/>
        </w:rPr>
      </w:pPr>
      <w:r w:rsidRPr="005B37F0">
        <w:rPr>
          <w:rFonts w:cs="Arial"/>
        </w:rPr>
        <w:t>Assessment of postal inclusive insurance business opportunities (i.e., scope, impacts and required inclusive insurance solutions);</w:t>
      </w:r>
    </w:p>
    <w:p w14:paraId="1E704AB5" w14:textId="4B398260" w:rsidR="0014210B" w:rsidRPr="005B37F0" w:rsidRDefault="0014210B" w:rsidP="005B37F0">
      <w:pPr>
        <w:pStyle w:val="1Premierretrait"/>
        <w:rPr>
          <w:rFonts w:cs="Arial"/>
        </w:rPr>
      </w:pPr>
      <w:r w:rsidRPr="005B37F0">
        <w:rPr>
          <w:rFonts w:cs="Arial"/>
        </w:rPr>
        <w:t>Assessment of the management requirements for insurance partnership options and models;</w:t>
      </w:r>
    </w:p>
    <w:p w14:paraId="54EEBF6B" w14:textId="3EFC7ED4" w:rsidR="0014210B" w:rsidRPr="005B37F0" w:rsidRDefault="0014210B" w:rsidP="005B37F0">
      <w:pPr>
        <w:pStyle w:val="1Premierretrait"/>
        <w:rPr>
          <w:rFonts w:cs="Arial"/>
        </w:rPr>
      </w:pPr>
      <w:r w:rsidRPr="005B37F0">
        <w:rPr>
          <w:rFonts w:cs="Arial"/>
        </w:rPr>
        <w:t>Analysis of the DO</w:t>
      </w:r>
      <w:r w:rsidR="005B37F0" w:rsidRPr="005B37F0">
        <w:rPr>
          <w:rFonts w:cs="Arial"/>
        </w:rPr>
        <w:t>’</w:t>
      </w:r>
      <w:r w:rsidRPr="005B37F0">
        <w:rPr>
          <w:rFonts w:cs="Arial"/>
        </w:rPr>
        <w:t>s insurance operational readiness and the opportunities for and benefits of diversification;</w:t>
      </w:r>
    </w:p>
    <w:p w14:paraId="66325884" w14:textId="4175A846" w:rsidR="0014210B" w:rsidRPr="005B37F0" w:rsidRDefault="0014210B" w:rsidP="005B37F0">
      <w:pPr>
        <w:pStyle w:val="1Premierretrait"/>
        <w:rPr>
          <w:rFonts w:cs="Arial"/>
        </w:rPr>
      </w:pPr>
      <w:r w:rsidRPr="005B37F0">
        <w:rPr>
          <w:rFonts w:cs="Arial"/>
        </w:rPr>
        <w:t>Review of operational procedures in order to adapt to new inclusive insurance sales techniques and environments;</w:t>
      </w:r>
    </w:p>
    <w:p w14:paraId="347AA854" w14:textId="01A43EB5" w:rsidR="0014210B" w:rsidRPr="005B37F0" w:rsidRDefault="0014210B" w:rsidP="005B37F0">
      <w:pPr>
        <w:pStyle w:val="1Premierretrait"/>
        <w:rPr>
          <w:rFonts w:cs="Arial"/>
        </w:rPr>
      </w:pPr>
      <w:r w:rsidRPr="005B37F0">
        <w:rPr>
          <w:rFonts w:cs="Arial"/>
        </w:rPr>
        <w:t>Drafting of postal insurance specifications and business partnership models;</w:t>
      </w:r>
    </w:p>
    <w:p w14:paraId="60987954" w14:textId="7A1EAB96" w:rsidR="0014210B" w:rsidRPr="005B37F0" w:rsidRDefault="0014210B" w:rsidP="005B37F0">
      <w:pPr>
        <w:pStyle w:val="1Premierretrait"/>
        <w:rPr>
          <w:rFonts w:cs="Arial"/>
        </w:rPr>
      </w:pPr>
      <w:r w:rsidRPr="005B37F0">
        <w:rPr>
          <w:rFonts w:cs="Arial"/>
        </w:rPr>
        <w:t>Identification of inclusive insurance service providers, while respecting domestic procurement guidelines;</w:t>
      </w:r>
    </w:p>
    <w:p w14:paraId="54736B0C" w14:textId="0F01CEB2" w:rsidR="0014210B" w:rsidRPr="005B37F0" w:rsidRDefault="0014210B" w:rsidP="005B37F0">
      <w:pPr>
        <w:pStyle w:val="1Premierretrait"/>
        <w:rPr>
          <w:rFonts w:cs="Arial"/>
        </w:rPr>
      </w:pPr>
      <w:r w:rsidRPr="005B37F0">
        <w:rPr>
          <w:rFonts w:cs="Arial"/>
        </w:rPr>
        <w:t>Preparation of country go-to-market plans in support of local partnerships (including the design of tender proposals) and leading to scalable deployment plans;</w:t>
      </w:r>
    </w:p>
    <w:p w14:paraId="6ADE9BE6" w14:textId="232EB193" w:rsidR="0014210B" w:rsidRPr="005B37F0" w:rsidRDefault="0014210B" w:rsidP="005B37F0">
      <w:pPr>
        <w:pStyle w:val="1Premierretrait"/>
        <w:rPr>
          <w:rFonts w:cs="Arial"/>
        </w:rPr>
      </w:pPr>
      <w:r w:rsidRPr="005B37F0">
        <w:rPr>
          <w:rFonts w:cs="Arial"/>
        </w:rPr>
        <w:t>Review of postal technical readiness to deploy and integrate inclusive insurance capabilities;</w:t>
      </w:r>
    </w:p>
    <w:p w14:paraId="790FC003" w14:textId="4A2AA175" w:rsidR="0014210B" w:rsidRPr="005B37F0" w:rsidRDefault="0014210B" w:rsidP="005B37F0">
      <w:pPr>
        <w:pStyle w:val="1Premierretrait"/>
        <w:rPr>
          <w:rFonts w:cs="Arial"/>
        </w:rPr>
      </w:pPr>
      <w:r w:rsidRPr="005B37F0">
        <w:rPr>
          <w:rFonts w:cs="Arial"/>
        </w:rPr>
        <w:t>Conduct of competitive market assessments;</w:t>
      </w:r>
    </w:p>
    <w:p w14:paraId="6C461DDC" w14:textId="49169AE2" w:rsidR="0014210B" w:rsidRPr="005B37F0" w:rsidRDefault="0014210B" w:rsidP="005B37F0">
      <w:pPr>
        <w:pStyle w:val="1Premierretrait"/>
        <w:rPr>
          <w:rFonts w:cs="Arial"/>
        </w:rPr>
      </w:pPr>
      <w:r w:rsidRPr="005B37F0">
        <w:rPr>
          <w:rFonts w:cs="Arial"/>
        </w:rPr>
        <w:t>Development of marketing and promotion activities for inclusive insurance and of education plans to raise awareness about inclusive insurance benefits and ways to access solutions.</w:t>
      </w:r>
    </w:p>
    <w:p w14:paraId="58F47AFB" w14:textId="0340BBC7" w:rsidR="0014210B" w:rsidRPr="005B37F0" w:rsidRDefault="0014210B" w:rsidP="005B37F0">
      <w:pPr>
        <w:widowControl w:val="0"/>
        <w:jc w:val="both"/>
        <w:rPr>
          <w:rFonts w:cs="Arial"/>
        </w:rPr>
      </w:pPr>
    </w:p>
    <w:p w14:paraId="65707571" w14:textId="77777777" w:rsidR="0014210B" w:rsidRPr="005B37F0" w:rsidRDefault="0014210B" w:rsidP="005B37F0">
      <w:pPr>
        <w:widowControl w:val="0"/>
        <w:jc w:val="both"/>
        <w:rPr>
          <w:rFonts w:cs="Arial"/>
        </w:rPr>
      </w:pPr>
    </w:p>
    <w:p w14:paraId="361EC4FA" w14:textId="77777777" w:rsidR="0014210B" w:rsidRPr="005B37F0" w:rsidRDefault="0014210B" w:rsidP="005B37F0">
      <w:pPr>
        <w:pStyle w:val="Heading1"/>
        <w:rPr>
          <w:rFonts w:cs="Arial"/>
        </w:rPr>
      </w:pPr>
      <w:bookmarkStart w:id="17" w:name="_Toc202427390"/>
      <w:r w:rsidRPr="005B37F0">
        <w:rPr>
          <w:rFonts w:cs="Arial"/>
        </w:rPr>
        <w:t>3</w:t>
      </w:r>
      <w:r w:rsidRPr="005B37F0">
        <w:rPr>
          <w:rFonts w:cs="Arial"/>
        </w:rPr>
        <w:tab/>
        <w:t>Evaluation and selection of proposals</w:t>
      </w:r>
      <w:bookmarkEnd w:id="17"/>
    </w:p>
    <w:p w14:paraId="557783D6" w14:textId="77777777" w:rsidR="0014210B" w:rsidRPr="005B37F0" w:rsidRDefault="0014210B" w:rsidP="005B37F0">
      <w:pPr>
        <w:widowControl w:val="0"/>
        <w:jc w:val="both"/>
        <w:rPr>
          <w:rFonts w:cs="Arial"/>
        </w:rPr>
      </w:pPr>
    </w:p>
    <w:p w14:paraId="65097A7D" w14:textId="77777777" w:rsidR="0014210B" w:rsidRPr="005B37F0" w:rsidRDefault="0014210B" w:rsidP="005B37F0">
      <w:pPr>
        <w:widowControl w:val="0"/>
        <w:jc w:val="both"/>
        <w:rPr>
          <w:rFonts w:cs="Arial"/>
        </w:rPr>
      </w:pPr>
      <w:r w:rsidRPr="005B37F0">
        <w:rPr>
          <w:rFonts w:cs="Arial"/>
        </w:rPr>
        <w:t>The UPU will review the project proposals in terms of scope, objectives and potential end user (customer) impacts. All proposals received will be assessed against the criteria established by the UPU, including the following:</w:t>
      </w:r>
    </w:p>
    <w:p w14:paraId="37ACEDC5" w14:textId="59CA7C91" w:rsidR="0014210B" w:rsidRPr="005B37F0" w:rsidRDefault="0014210B" w:rsidP="005B37F0">
      <w:pPr>
        <w:pStyle w:val="1Premierretrait"/>
        <w:rPr>
          <w:rFonts w:cs="Arial"/>
        </w:rPr>
      </w:pPr>
      <w:r w:rsidRPr="005B37F0">
        <w:rPr>
          <w:rFonts w:cs="Arial"/>
        </w:rPr>
        <w:t>Potential or existing enabling legal regulatory framework for the DO to offer insurance services;</w:t>
      </w:r>
    </w:p>
    <w:p w14:paraId="002A68AD" w14:textId="1D577549" w:rsidR="0014210B" w:rsidRPr="005B37F0" w:rsidRDefault="0014210B" w:rsidP="005B37F0">
      <w:pPr>
        <w:pStyle w:val="1Premierretrait"/>
        <w:rPr>
          <w:rFonts w:cs="Arial"/>
        </w:rPr>
      </w:pPr>
      <w:r w:rsidRPr="005B37F0">
        <w:rPr>
          <w:rFonts w:cs="Arial"/>
        </w:rPr>
        <w:t>Government commitment to fostering financial inclusion through postal networks and to supporting DO development of inclusive insurance offerings;</w:t>
      </w:r>
    </w:p>
    <w:p w14:paraId="75FE5A9C" w14:textId="32A978B1" w:rsidR="0014210B" w:rsidRPr="005B37F0" w:rsidRDefault="0014210B" w:rsidP="005B37F0">
      <w:pPr>
        <w:pStyle w:val="1Premierretrait"/>
        <w:rPr>
          <w:rFonts w:cs="Arial"/>
        </w:rPr>
      </w:pPr>
      <w:r w:rsidRPr="005B37F0">
        <w:rPr>
          <w:rFonts w:cs="Arial"/>
        </w:rPr>
        <w:t>Willingness of the DO</w:t>
      </w:r>
      <w:r w:rsidR="005B37F0" w:rsidRPr="005B37F0">
        <w:rPr>
          <w:rFonts w:cs="Arial"/>
        </w:rPr>
        <w:t>’</w:t>
      </w:r>
      <w:r w:rsidRPr="005B37F0">
        <w:rPr>
          <w:rFonts w:cs="Arial"/>
        </w:rPr>
        <w:t>s top management to achieve a stronger impact on inclusive insurance as one of the means of delivering financial inclusion;</w:t>
      </w:r>
    </w:p>
    <w:p w14:paraId="39E7017E" w14:textId="04EDEFEC" w:rsidR="0014210B" w:rsidRPr="005B37F0" w:rsidRDefault="0014210B" w:rsidP="005B37F0">
      <w:pPr>
        <w:pStyle w:val="1Premierretrait"/>
        <w:rPr>
          <w:rFonts w:cs="Arial"/>
        </w:rPr>
      </w:pPr>
      <w:r w:rsidRPr="005B37F0">
        <w:rPr>
          <w:rFonts w:cs="Arial"/>
        </w:rPr>
        <w:t>Relevance of the proposed project to national financial inclusion and PITAF goals;</w:t>
      </w:r>
    </w:p>
    <w:p w14:paraId="6E311982" w14:textId="76C7E39F" w:rsidR="0014210B" w:rsidRPr="005B37F0" w:rsidRDefault="0014210B" w:rsidP="005B37F0">
      <w:pPr>
        <w:pStyle w:val="1Premierretrait"/>
        <w:rPr>
          <w:rFonts w:cs="Arial"/>
        </w:rPr>
      </w:pPr>
      <w:r w:rsidRPr="005B37F0">
        <w:rPr>
          <w:rFonts w:cs="Arial"/>
        </w:rPr>
        <w:t>Capacity of the DO to implement the proposed project within the required timelines;</w:t>
      </w:r>
    </w:p>
    <w:p w14:paraId="6CAC8F27" w14:textId="22DF86B9" w:rsidR="0014210B" w:rsidRPr="005B37F0" w:rsidRDefault="0014210B" w:rsidP="005B37F0">
      <w:pPr>
        <w:pStyle w:val="1Premierretrait"/>
        <w:rPr>
          <w:rFonts w:cs="Arial"/>
        </w:rPr>
      </w:pPr>
      <w:r w:rsidRPr="005B37F0">
        <w:rPr>
          <w:rFonts w:cs="Arial"/>
        </w:rPr>
        <w:t>Clearly identified DO project team and resources to implement the project locally;</w:t>
      </w:r>
    </w:p>
    <w:p w14:paraId="32FCBFFB" w14:textId="3E1C052E" w:rsidR="0014210B" w:rsidRPr="005B37F0" w:rsidRDefault="0014210B" w:rsidP="005B37F0">
      <w:pPr>
        <w:pStyle w:val="1Premierretrait"/>
        <w:rPr>
          <w:rFonts w:cs="Arial"/>
        </w:rPr>
      </w:pPr>
      <w:r w:rsidRPr="005B37F0">
        <w:rPr>
          <w:rFonts w:cs="Arial"/>
        </w:rPr>
        <w:t>Proposed project</w:t>
      </w:r>
      <w:r w:rsidR="005B37F0" w:rsidRPr="005B37F0">
        <w:rPr>
          <w:rFonts w:cs="Arial"/>
        </w:rPr>
        <w:t>’</w:t>
      </w:r>
      <w:r w:rsidRPr="005B37F0">
        <w:rPr>
          <w:rFonts w:cs="Arial"/>
        </w:rPr>
        <w:t>s focus on innovations to enhance access to insurance, technology, operating models and distribution channels;</w:t>
      </w:r>
    </w:p>
    <w:p w14:paraId="255DE0EB" w14:textId="0E6C6350" w:rsidR="0014210B" w:rsidRPr="005B37F0" w:rsidRDefault="0014210B" w:rsidP="005B37F0">
      <w:pPr>
        <w:pStyle w:val="1Premierretrait"/>
        <w:rPr>
          <w:rFonts w:cs="Arial"/>
        </w:rPr>
      </w:pPr>
      <w:r w:rsidRPr="005B37F0">
        <w:rPr>
          <w:rFonts w:cs="Arial"/>
        </w:rPr>
        <w:t>Proposed project</w:t>
      </w:r>
      <w:r w:rsidR="005B37F0" w:rsidRPr="005B37F0">
        <w:rPr>
          <w:rFonts w:cs="Arial"/>
        </w:rPr>
        <w:t>’</w:t>
      </w:r>
      <w:r w:rsidRPr="005B37F0">
        <w:rPr>
          <w:rFonts w:cs="Arial"/>
        </w:rPr>
        <w:t>s customer centricity and its intent to serve vulnerable populations (e.g., MSMEs, farmers, youth, women, elderly individuals, and other underserved populations);</w:t>
      </w:r>
    </w:p>
    <w:p w14:paraId="1D8A5DF5" w14:textId="6401930F" w:rsidR="0014210B" w:rsidRPr="005B37F0" w:rsidRDefault="0014210B" w:rsidP="005B37F0">
      <w:pPr>
        <w:pStyle w:val="1Premierretrait"/>
        <w:rPr>
          <w:rFonts w:cs="Arial"/>
        </w:rPr>
      </w:pPr>
      <w:r w:rsidRPr="005B37F0">
        <w:rPr>
          <w:rFonts w:cs="Arial"/>
        </w:rPr>
        <w:t>Clear targets and tangible commitments on the customer segments to engage and acquire in the project (e.g., number of insured, premium amounts, insurance types);</w:t>
      </w:r>
    </w:p>
    <w:p w14:paraId="60433786" w14:textId="0AE4D359" w:rsidR="0014210B" w:rsidRPr="005B37F0" w:rsidRDefault="0014210B" w:rsidP="005B37F0">
      <w:pPr>
        <w:pStyle w:val="1Premierretrait"/>
        <w:rPr>
          <w:rFonts w:cs="Arial"/>
        </w:rPr>
      </w:pPr>
      <w:r w:rsidRPr="005B37F0">
        <w:rPr>
          <w:rFonts w:cs="Arial"/>
        </w:rPr>
        <w:t>Openness to new partnership options and associated alignment with regulators;</w:t>
      </w:r>
    </w:p>
    <w:p w14:paraId="0DB60060" w14:textId="3D89EE4D" w:rsidR="0014210B" w:rsidRPr="005B37F0" w:rsidRDefault="0014210B" w:rsidP="005B37F0">
      <w:pPr>
        <w:pStyle w:val="1Premierretrait"/>
        <w:rPr>
          <w:rFonts w:cs="Arial"/>
        </w:rPr>
      </w:pPr>
      <w:r w:rsidRPr="005B37F0">
        <w:rPr>
          <w:rFonts w:cs="Arial"/>
        </w:rPr>
        <w:t>Willingness to adopt and deploy lessons learned and best practices on inclusive insurance by working with the PITAF programme experts or local service providers;</w:t>
      </w:r>
    </w:p>
    <w:p w14:paraId="1A391D8C" w14:textId="517E7569" w:rsidR="0014210B" w:rsidRPr="005B37F0" w:rsidRDefault="0014210B" w:rsidP="005B37F0">
      <w:pPr>
        <w:pStyle w:val="1Premierretrait"/>
        <w:rPr>
          <w:rFonts w:cs="Arial"/>
        </w:rPr>
      </w:pPr>
      <w:r w:rsidRPr="005B37F0">
        <w:rPr>
          <w:rFonts w:cs="Arial"/>
        </w:rPr>
        <w:t>Alignment of the inclusive insurance project with the DO</w:t>
      </w:r>
      <w:r w:rsidR="005B37F0" w:rsidRPr="005B37F0">
        <w:rPr>
          <w:rFonts w:cs="Arial"/>
        </w:rPr>
        <w:t>’</w:t>
      </w:r>
      <w:r w:rsidRPr="005B37F0">
        <w:rPr>
          <w:rFonts w:cs="Arial"/>
        </w:rPr>
        <w:t>s overall strategy;</w:t>
      </w:r>
    </w:p>
    <w:p w14:paraId="1C2F3FF4" w14:textId="1A6C82F1" w:rsidR="005B37F0" w:rsidRDefault="0014210B" w:rsidP="005B37F0">
      <w:pPr>
        <w:pStyle w:val="1Premierretrait"/>
        <w:rPr>
          <w:rFonts w:cs="Arial"/>
        </w:rPr>
      </w:pPr>
      <w:r w:rsidRPr="005B37F0">
        <w:rPr>
          <w:rFonts w:cs="Arial"/>
        </w:rPr>
        <w:t>Commitment to and objective of launching or expanding inclusive insurance postal solutions by the end of the PITAF programme, such as adopting the defined processes and operational and product activa</w:t>
      </w:r>
      <w:r w:rsidR="005B37F0" w:rsidRPr="005B37F0">
        <w:rPr>
          <w:rFonts w:cs="Arial"/>
        </w:rPr>
        <w:softHyphen/>
      </w:r>
      <w:r w:rsidRPr="005B37F0">
        <w:rPr>
          <w:rFonts w:cs="Arial"/>
        </w:rPr>
        <w:t>tion models;</w:t>
      </w:r>
    </w:p>
    <w:p w14:paraId="4FE81EA8" w14:textId="77777777" w:rsidR="005B37F0" w:rsidRDefault="005B37F0">
      <w:pPr>
        <w:spacing w:line="240" w:lineRule="auto"/>
        <w:rPr>
          <w:rFonts w:cs="Arial"/>
        </w:rPr>
      </w:pPr>
      <w:r>
        <w:rPr>
          <w:rFonts w:cs="Arial"/>
        </w:rPr>
        <w:br w:type="page"/>
      </w:r>
    </w:p>
    <w:p w14:paraId="5BB5410A" w14:textId="2DC5872F" w:rsidR="0014210B" w:rsidRPr="005B37F0" w:rsidRDefault="0014210B" w:rsidP="005B37F0">
      <w:pPr>
        <w:pStyle w:val="1Premierretrait"/>
        <w:rPr>
          <w:rFonts w:cs="Arial"/>
        </w:rPr>
      </w:pPr>
      <w:r w:rsidRPr="005B37F0">
        <w:rPr>
          <w:rFonts w:cs="Arial"/>
        </w:rPr>
        <w:lastRenderedPageBreak/>
        <w:t>Provision of additional funding by the DO and its partners to launch the inclusive insurance project. The DO must be willing to co-fund the project costs by contributing an amount equal to at least 25% of the grant provided by the UPU, or at least 10,000 USD (see section 4 below);</w:t>
      </w:r>
    </w:p>
    <w:p w14:paraId="538D0ED3" w14:textId="7E37AFBC" w:rsidR="0014210B" w:rsidRPr="005B37F0" w:rsidRDefault="0014210B" w:rsidP="005B37F0">
      <w:pPr>
        <w:pStyle w:val="1Premierretrait"/>
        <w:rPr>
          <w:rFonts w:cs="Arial"/>
        </w:rPr>
      </w:pPr>
      <w:r w:rsidRPr="005B37F0">
        <w:rPr>
          <w:rFonts w:cs="Arial"/>
        </w:rPr>
        <w:t>Expected financial inclusion impacts of the project take into account various factors, including the following:</w:t>
      </w:r>
    </w:p>
    <w:p w14:paraId="657E8799" w14:textId="29620266" w:rsidR="0014210B" w:rsidRPr="005B37F0" w:rsidRDefault="0014210B" w:rsidP="005B37F0">
      <w:pPr>
        <w:pStyle w:val="2Deuximeretrait"/>
        <w:rPr>
          <w:rFonts w:cs="Arial"/>
        </w:rPr>
      </w:pPr>
      <w:r w:rsidRPr="005B37F0">
        <w:rPr>
          <w:rFonts w:cs="Arial"/>
        </w:rPr>
        <w:t>Targets in terms of numbers and segments of postal clients, and types of insurance solutions to be deployed;</w:t>
      </w:r>
    </w:p>
    <w:p w14:paraId="4224D558" w14:textId="79590EA7" w:rsidR="0014210B" w:rsidRPr="005B37F0" w:rsidRDefault="0014210B" w:rsidP="005B37F0">
      <w:pPr>
        <w:pStyle w:val="2Deuximeretrait"/>
        <w:rPr>
          <w:rFonts w:cs="Arial"/>
        </w:rPr>
      </w:pPr>
      <w:r w:rsidRPr="005B37F0">
        <w:rPr>
          <w:rFonts w:cs="Arial"/>
        </w:rPr>
        <w:t xml:space="preserve">Comparison between targets and the current market situation to evaluate market share; </w:t>
      </w:r>
    </w:p>
    <w:p w14:paraId="1A1965DD" w14:textId="5532A0AB" w:rsidR="0014210B" w:rsidRPr="005B37F0" w:rsidRDefault="0014210B" w:rsidP="005B37F0">
      <w:pPr>
        <w:pStyle w:val="2Deuximeretrait"/>
        <w:rPr>
          <w:rFonts w:cs="Arial"/>
        </w:rPr>
      </w:pPr>
      <w:r w:rsidRPr="005B37F0">
        <w:rPr>
          <w:rFonts w:cs="Arial"/>
        </w:rPr>
        <w:t>Proposed project</w:t>
      </w:r>
      <w:r w:rsidR="005B37F0" w:rsidRPr="005B37F0">
        <w:rPr>
          <w:rFonts w:cs="Arial"/>
        </w:rPr>
        <w:t>’</w:t>
      </w:r>
      <w:r w:rsidRPr="005B37F0">
        <w:rPr>
          <w:rFonts w:cs="Arial"/>
        </w:rPr>
        <w:t>s expected impacts on and contributions to the DO concerned;</w:t>
      </w:r>
    </w:p>
    <w:p w14:paraId="5B65A168" w14:textId="53F2B92D" w:rsidR="0014210B" w:rsidRPr="005B37F0" w:rsidRDefault="0014210B" w:rsidP="005B37F0">
      <w:pPr>
        <w:pStyle w:val="2Deuximeretrait"/>
        <w:rPr>
          <w:rFonts w:cs="Arial"/>
        </w:rPr>
      </w:pPr>
      <w:r w:rsidRPr="005B37F0">
        <w:rPr>
          <w:rFonts w:cs="Arial"/>
        </w:rPr>
        <w:t>Proposed project</w:t>
      </w:r>
      <w:r w:rsidR="005B37F0" w:rsidRPr="005B37F0">
        <w:rPr>
          <w:rFonts w:cs="Arial"/>
        </w:rPr>
        <w:t>’</w:t>
      </w:r>
      <w:r w:rsidRPr="005B37F0">
        <w:rPr>
          <w:rFonts w:cs="Arial"/>
        </w:rPr>
        <w:t>s expected impacts on and contributions to national financial inclusion goals.</w:t>
      </w:r>
    </w:p>
    <w:p w14:paraId="64EDEF9E" w14:textId="77777777" w:rsidR="0014210B" w:rsidRPr="005B37F0" w:rsidRDefault="0014210B" w:rsidP="005B37F0">
      <w:pPr>
        <w:widowControl w:val="0"/>
        <w:jc w:val="both"/>
        <w:rPr>
          <w:rFonts w:cs="Arial"/>
        </w:rPr>
      </w:pPr>
    </w:p>
    <w:p w14:paraId="170E5C43" w14:textId="77777777" w:rsidR="0014210B" w:rsidRPr="005B37F0" w:rsidRDefault="0014210B" w:rsidP="005B37F0">
      <w:pPr>
        <w:widowControl w:val="0"/>
        <w:jc w:val="both"/>
        <w:rPr>
          <w:rFonts w:cs="Arial"/>
        </w:rPr>
      </w:pPr>
    </w:p>
    <w:p w14:paraId="1CF64458" w14:textId="77777777" w:rsidR="0014210B" w:rsidRPr="005B37F0" w:rsidRDefault="0014210B" w:rsidP="005B37F0">
      <w:pPr>
        <w:pStyle w:val="Heading1"/>
        <w:rPr>
          <w:rFonts w:cs="Arial"/>
        </w:rPr>
      </w:pPr>
      <w:bookmarkStart w:id="18" w:name="_Toc202427391"/>
      <w:r w:rsidRPr="005B37F0">
        <w:rPr>
          <w:rFonts w:cs="Arial"/>
        </w:rPr>
        <w:t>4</w:t>
      </w:r>
      <w:r w:rsidRPr="005B37F0">
        <w:rPr>
          <w:rFonts w:cs="Arial"/>
        </w:rPr>
        <w:tab/>
        <w:t>Financing principles</w:t>
      </w:r>
      <w:bookmarkEnd w:id="18"/>
    </w:p>
    <w:p w14:paraId="2EA89AD1" w14:textId="77777777" w:rsidR="0014210B" w:rsidRPr="005B37F0" w:rsidRDefault="0014210B" w:rsidP="005B37F0">
      <w:pPr>
        <w:widowControl w:val="0"/>
        <w:jc w:val="both"/>
        <w:rPr>
          <w:rFonts w:cs="Arial"/>
        </w:rPr>
      </w:pPr>
    </w:p>
    <w:p w14:paraId="15481C45" w14:textId="77777777" w:rsidR="0014210B" w:rsidRPr="005B37F0" w:rsidRDefault="0014210B" w:rsidP="005B37F0">
      <w:pPr>
        <w:widowControl w:val="0"/>
        <w:jc w:val="both"/>
        <w:rPr>
          <w:rFonts w:cs="Arial"/>
          <w:i/>
          <w:iCs/>
        </w:rPr>
      </w:pPr>
      <w:r w:rsidRPr="005B37F0">
        <w:rPr>
          <w:rFonts w:cs="Arial"/>
          <w:i/>
          <w:iCs/>
        </w:rPr>
        <w:t>Financial allocation and implementation period</w:t>
      </w:r>
    </w:p>
    <w:p w14:paraId="0A713C77" w14:textId="77777777" w:rsidR="0014210B" w:rsidRPr="005B37F0" w:rsidRDefault="0014210B" w:rsidP="005B37F0">
      <w:pPr>
        <w:widowControl w:val="0"/>
        <w:jc w:val="both"/>
        <w:rPr>
          <w:rFonts w:cs="Arial"/>
        </w:rPr>
      </w:pPr>
    </w:p>
    <w:p w14:paraId="352959F4" w14:textId="77777777" w:rsidR="0014210B" w:rsidRPr="005B37F0" w:rsidRDefault="0014210B" w:rsidP="005B37F0">
      <w:pPr>
        <w:widowControl w:val="0"/>
        <w:jc w:val="both"/>
        <w:rPr>
          <w:rFonts w:cs="Arial"/>
        </w:rPr>
      </w:pPr>
      <w:r w:rsidRPr="005B37F0">
        <w:rPr>
          <w:rFonts w:cs="Arial"/>
        </w:rPr>
        <w:t>A maximum of 40,000 USD will be awarded by the UPU per selected project, subject to the conclusion of the relevant contractual instrument between the UPU and the participating DO.</w:t>
      </w:r>
    </w:p>
    <w:p w14:paraId="0E6CAC60" w14:textId="77777777" w:rsidR="0014210B" w:rsidRPr="005B37F0" w:rsidRDefault="0014210B" w:rsidP="005B37F0">
      <w:pPr>
        <w:widowControl w:val="0"/>
        <w:jc w:val="both"/>
        <w:rPr>
          <w:rFonts w:cs="Arial"/>
        </w:rPr>
      </w:pPr>
      <w:r w:rsidRPr="005B37F0">
        <w:rPr>
          <w:rFonts w:cs="Arial"/>
        </w:rPr>
        <w:t xml:space="preserve"> </w:t>
      </w:r>
    </w:p>
    <w:p w14:paraId="7A1DA455" w14:textId="77777777" w:rsidR="0014210B" w:rsidRPr="005B37F0" w:rsidRDefault="0014210B" w:rsidP="005B37F0">
      <w:pPr>
        <w:widowControl w:val="0"/>
        <w:jc w:val="both"/>
        <w:rPr>
          <w:rFonts w:cs="Arial"/>
        </w:rPr>
      </w:pPr>
      <w:r w:rsidRPr="005B37F0">
        <w:rPr>
          <w:rFonts w:cs="Arial"/>
        </w:rPr>
        <w:t>The project implementation period must not exceed 12 months.</w:t>
      </w:r>
    </w:p>
    <w:p w14:paraId="5E363954" w14:textId="77777777" w:rsidR="0014210B" w:rsidRPr="005B37F0" w:rsidRDefault="0014210B" w:rsidP="005B37F0">
      <w:pPr>
        <w:widowControl w:val="0"/>
        <w:jc w:val="both"/>
        <w:rPr>
          <w:rFonts w:cs="Arial"/>
        </w:rPr>
      </w:pPr>
    </w:p>
    <w:p w14:paraId="61422D72" w14:textId="77777777" w:rsidR="0014210B" w:rsidRPr="005B37F0" w:rsidRDefault="0014210B" w:rsidP="005B37F0">
      <w:pPr>
        <w:widowControl w:val="0"/>
        <w:jc w:val="both"/>
        <w:rPr>
          <w:rFonts w:cs="Arial"/>
          <w:i/>
          <w:iCs/>
        </w:rPr>
      </w:pPr>
      <w:r w:rsidRPr="005B37F0">
        <w:rPr>
          <w:rFonts w:cs="Arial"/>
          <w:i/>
          <w:iCs/>
        </w:rPr>
        <w:t>Counterpart financing</w:t>
      </w:r>
    </w:p>
    <w:p w14:paraId="42D657C3" w14:textId="77777777" w:rsidR="0014210B" w:rsidRPr="005B37F0" w:rsidRDefault="0014210B" w:rsidP="005B37F0">
      <w:pPr>
        <w:widowControl w:val="0"/>
        <w:jc w:val="both"/>
        <w:rPr>
          <w:rFonts w:cs="Arial"/>
        </w:rPr>
      </w:pPr>
    </w:p>
    <w:p w14:paraId="33F1BC84" w14:textId="75AB1E73" w:rsidR="0014210B" w:rsidRPr="005B37F0" w:rsidRDefault="0014210B" w:rsidP="005B37F0">
      <w:pPr>
        <w:widowControl w:val="0"/>
        <w:jc w:val="both"/>
        <w:rPr>
          <w:rFonts w:cs="Arial"/>
        </w:rPr>
      </w:pPr>
      <w:r w:rsidRPr="005B37F0">
        <w:rPr>
          <w:rFonts w:cs="Arial"/>
        </w:rPr>
        <w:t>Project beneficiaries are expected to contribute to the project costs with an amount equal to at least 25% of the grant provided by the UPU, or at least 10,000 USD (e.g., if the UPU awards the maximum amount of 40,000 USD for a selected project, the DO would contribute 10,000 USD, for a total project budget of 50,000</w:t>
      </w:r>
      <w:r w:rsidR="005B37F0" w:rsidRPr="005B37F0">
        <w:rPr>
          <w:rFonts w:cs="Arial"/>
        </w:rPr>
        <w:t> </w:t>
      </w:r>
      <w:r w:rsidRPr="005B37F0">
        <w:rPr>
          <w:rFonts w:cs="Arial"/>
        </w:rPr>
        <w:t>USD). Under exceptional circumstances, and when justified, the UPU may consider accepting a lower share or amount of co-funding.</w:t>
      </w:r>
    </w:p>
    <w:p w14:paraId="5BD9E446" w14:textId="77777777" w:rsidR="0014210B" w:rsidRPr="005B37F0" w:rsidRDefault="0014210B" w:rsidP="005B37F0">
      <w:pPr>
        <w:widowControl w:val="0"/>
        <w:jc w:val="both"/>
        <w:rPr>
          <w:rFonts w:cs="Arial"/>
        </w:rPr>
      </w:pPr>
    </w:p>
    <w:p w14:paraId="511746D7" w14:textId="77777777" w:rsidR="0014210B" w:rsidRPr="005B37F0" w:rsidRDefault="0014210B" w:rsidP="005B37F0">
      <w:pPr>
        <w:widowControl w:val="0"/>
        <w:jc w:val="both"/>
        <w:rPr>
          <w:rFonts w:cs="Arial"/>
        </w:rPr>
      </w:pPr>
      <w:r w:rsidRPr="005B37F0">
        <w:rPr>
          <w:rFonts w:cs="Arial"/>
        </w:rPr>
        <w:t>The beneficiaries must also indicate any contribution to be made by their partners.</w:t>
      </w:r>
    </w:p>
    <w:p w14:paraId="05059826" w14:textId="77777777" w:rsidR="0014210B" w:rsidRPr="005B37F0" w:rsidRDefault="0014210B" w:rsidP="005B37F0">
      <w:pPr>
        <w:widowControl w:val="0"/>
        <w:jc w:val="both"/>
        <w:rPr>
          <w:rFonts w:cs="Arial"/>
        </w:rPr>
      </w:pPr>
    </w:p>
    <w:p w14:paraId="42AAAED0" w14:textId="77777777" w:rsidR="0014210B" w:rsidRPr="005B37F0" w:rsidRDefault="0014210B" w:rsidP="005B37F0">
      <w:pPr>
        <w:widowControl w:val="0"/>
        <w:jc w:val="both"/>
        <w:rPr>
          <w:rFonts w:cs="Arial"/>
          <w:i/>
          <w:iCs/>
        </w:rPr>
      </w:pPr>
      <w:r w:rsidRPr="005B37F0">
        <w:rPr>
          <w:rFonts w:cs="Arial"/>
          <w:i/>
          <w:iCs/>
        </w:rPr>
        <w:t>Eligible expenditures</w:t>
      </w:r>
    </w:p>
    <w:p w14:paraId="29014691" w14:textId="77777777" w:rsidR="0014210B" w:rsidRPr="005B37F0" w:rsidRDefault="0014210B" w:rsidP="005B37F0">
      <w:pPr>
        <w:widowControl w:val="0"/>
        <w:jc w:val="both"/>
        <w:rPr>
          <w:rFonts w:cs="Arial"/>
        </w:rPr>
      </w:pPr>
    </w:p>
    <w:p w14:paraId="30FCFCD2" w14:textId="7CB6BE6F" w:rsidR="0014210B" w:rsidRPr="005B37F0" w:rsidRDefault="0014210B" w:rsidP="005B37F0">
      <w:pPr>
        <w:widowControl w:val="0"/>
        <w:jc w:val="both"/>
        <w:rPr>
          <w:rFonts w:cs="Arial"/>
        </w:rPr>
      </w:pPr>
      <w:r w:rsidRPr="005B37F0">
        <w:rPr>
          <w:rFonts w:cs="Arial"/>
        </w:rPr>
        <w:t>The grant is expected to cover costs related to the PITAF programme</w:t>
      </w:r>
      <w:r w:rsidR="005B37F0" w:rsidRPr="005B37F0">
        <w:rPr>
          <w:rFonts w:cs="Arial"/>
        </w:rPr>
        <w:t>’</w:t>
      </w:r>
      <w:r w:rsidRPr="005B37F0">
        <w:rPr>
          <w:rFonts w:cs="Arial"/>
        </w:rPr>
        <w:t>s four key thematic areas:</w:t>
      </w:r>
    </w:p>
    <w:p w14:paraId="747BDD73" w14:textId="55F1C274" w:rsidR="0014210B" w:rsidRPr="005B37F0" w:rsidRDefault="0014210B" w:rsidP="005B37F0">
      <w:pPr>
        <w:pStyle w:val="1Premierretrait"/>
        <w:rPr>
          <w:rFonts w:cs="Arial"/>
        </w:rPr>
      </w:pPr>
      <w:r w:rsidRPr="005B37F0">
        <w:rPr>
          <w:rFonts w:cs="Arial"/>
        </w:rPr>
        <w:t>Insurance solutions and products design</w:t>
      </w:r>
    </w:p>
    <w:p w14:paraId="4EEB8AD3" w14:textId="2606DADA" w:rsidR="0014210B" w:rsidRPr="005B37F0" w:rsidRDefault="0014210B" w:rsidP="005B37F0">
      <w:pPr>
        <w:pStyle w:val="1Premierretrait"/>
        <w:rPr>
          <w:rFonts w:cs="Arial"/>
        </w:rPr>
      </w:pPr>
      <w:r w:rsidRPr="005B37F0">
        <w:rPr>
          <w:rFonts w:cs="Arial"/>
        </w:rPr>
        <w:t>Technical integration</w:t>
      </w:r>
    </w:p>
    <w:p w14:paraId="3D3998D8" w14:textId="47984044" w:rsidR="0014210B" w:rsidRPr="005B37F0" w:rsidRDefault="0014210B" w:rsidP="005B37F0">
      <w:pPr>
        <w:pStyle w:val="1Premierretrait"/>
        <w:rPr>
          <w:rFonts w:cs="Arial"/>
        </w:rPr>
      </w:pPr>
      <w:r w:rsidRPr="005B37F0">
        <w:rPr>
          <w:rFonts w:cs="Arial"/>
        </w:rPr>
        <w:t>Marketing and customer activation</w:t>
      </w:r>
    </w:p>
    <w:p w14:paraId="65A9684A" w14:textId="3E4A6B33" w:rsidR="0014210B" w:rsidRPr="005B37F0" w:rsidRDefault="0014210B" w:rsidP="005B37F0">
      <w:pPr>
        <w:pStyle w:val="1Premierretrait"/>
        <w:rPr>
          <w:rFonts w:cs="Arial"/>
        </w:rPr>
      </w:pPr>
      <w:r w:rsidRPr="005B37F0">
        <w:rPr>
          <w:rFonts w:cs="Arial"/>
        </w:rPr>
        <w:t xml:space="preserve">Insurance literacy and capacity building </w:t>
      </w:r>
    </w:p>
    <w:p w14:paraId="2F12C636" w14:textId="77777777" w:rsidR="0014210B" w:rsidRPr="005B37F0" w:rsidRDefault="0014210B" w:rsidP="005B37F0">
      <w:pPr>
        <w:widowControl w:val="0"/>
        <w:jc w:val="both"/>
        <w:rPr>
          <w:rFonts w:cs="Arial"/>
        </w:rPr>
      </w:pPr>
    </w:p>
    <w:p w14:paraId="7E4ACB99" w14:textId="1669E749" w:rsidR="0014210B" w:rsidRPr="005B37F0" w:rsidRDefault="0014210B" w:rsidP="005B37F0">
      <w:pPr>
        <w:widowControl w:val="0"/>
        <w:jc w:val="both"/>
        <w:rPr>
          <w:rFonts w:cs="Arial"/>
        </w:rPr>
      </w:pPr>
      <w:r w:rsidRPr="005B37F0">
        <w:rPr>
          <w:rFonts w:cs="Arial"/>
        </w:rPr>
        <w:t>It should be noted that actual funds allocation per thematic area will be determined in the contractual instrument between the UPU and the participating DO.</w:t>
      </w:r>
      <w:r w:rsidR="005B37F0" w:rsidRPr="005B37F0">
        <w:rPr>
          <w:rFonts w:cs="Arial"/>
        </w:rPr>
        <w:t xml:space="preserve"> </w:t>
      </w:r>
    </w:p>
    <w:p w14:paraId="16719F73" w14:textId="47FF5A85" w:rsidR="0014210B" w:rsidRPr="005B37F0" w:rsidRDefault="0014210B" w:rsidP="005B37F0">
      <w:pPr>
        <w:widowControl w:val="0"/>
        <w:jc w:val="both"/>
        <w:rPr>
          <w:rFonts w:cs="Arial"/>
        </w:rPr>
      </w:pPr>
    </w:p>
    <w:p w14:paraId="2A4075BC" w14:textId="77777777" w:rsidR="0014210B" w:rsidRPr="005B37F0" w:rsidRDefault="0014210B" w:rsidP="005B37F0">
      <w:pPr>
        <w:widowControl w:val="0"/>
        <w:jc w:val="both"/>
        <w:rPr>
          <w:rFonts w:cs="Arial"/>
        </w:rPr>
      </w:pPr>
    </w:p>
    <w:p w14:paraId="1FFEC3CA" w14:textId="77777777" w:rsidR="0014210B" w:rsidRPr="005B37F0" w:rsidRDefault="0014210B" w:rsidP="005B37F0">
      <w:pPr>
        <w:pStyle w:val="Heading1"/>
        <w:rPr>
          <w:rFonts w:cs="Arial"/>
        </w:rPr>
      </w:pPr>
      <w:bookmarkStart w:id="19" w:name="_Toc202427392"/>
      <w:r w:rsidRPr="005B37F0">
        <w:rPr>
          <w:rFonts w:cs="Arial"/>
        </w:rPr>
        <w:t>5</w:t>
      </w:r>
      <w:r w:rsidRPr="005B37F0">
        <w:rPr>
          <w:rFonts w:cs="Arial"/>
        </w:rPr>
        <w:tab/>
        <w:t>Application procedure</w:t>
      </w:r>
      <w:bookmarkEnd w:id="19"/>
    </w:p>
    <w:p w14:paraId="2AD245E0" w14:textId="6ABEAA5F" w:rsidR="0014210B" w:rsidRPr="005B37F0" w:rsidRDefault="0014210B" w:rsidP="005B37F0">
      <w:pPr>
        <w:widowControl w:val="0"/>
        <w:jc w:val="both"/>
        <w:rPr>
          <w:rFonts w:cs="Arial"/>
        </w:rPr>
      </w:pPr>
    </w:p>
    <w:tbl>
      <w:tblPr>
        <w:tblW w:w="10065" w:type="dxa"/>
        <w:tblInd w:w="-426" w:type="dxa"/>
        <w:tblBorders>
          <w:insideH w:val="single" w:sz="4" w:space="0" w:color="auto"/>
        </w:tblBorders>
        <w:tblLayout w:type="fixed"/>
        <w:tblCellMar>
          <w:left w:w="0" w:type="dxa"/>
          <w:right w:w="0" w:type="dxa"/>
        </w:tblCellMar>
        <w:tblLook w:val="0000" w:firstRow="0" w:lastRow="0" w:firstColumn="0" w:lastColumn="0" w:noHBand="0" w:noVBand="0"/>
      </w:tblPr>
      <w:tblGrid>
        <w:gridCol w:w="426"/>
        <w:gridCol w:w="9639"/>
      </w:tblGrid>
      <w:tr w:rsidR="0014210B" w:rsidRPr="005B37F0" w14:paraId="74EF80E5" w14:textId="77777777" w:rsidTr="002F636C">
        <w:tc>
          <w:tcPr>
            <w:tcW w:w="426" w:type="dxa"/>
          </w:tcPr>
          <w:p w14:paraId="06B1F11F" w14:textId="77777777" w:rsidR="0014210B" w:rsidRPr="005B37F0" w:rsidRDefault="0014210B" w:rsidP="005B37F0">
            <w:pPr>
              <w:pStyle w:val="Barredanslamarge"/>
            </w:pPr>
            <w:r w:rsidRPr="005B37F0">
              <w:t>/</w:t>
            </w:r>
          </w:p>
        </w:tc>
        <w:tc>
          <w:tcPr>
            <w:tcW w:w="9639" w:type="dxa"/>
          </w:tcPr>
          <w:p w14:paraId="737BF193" w14:textId="7132F497" w:rsidR="0014210B" w:rsidRPr="005B37F0" w:rsidRDefault="0014210B" w:rsidP="005B37F0">
            <w:pPr>
              <w:pStyle w:val="Barredanslamarge"/>
            </w:pPr>
            <w:r w:rsidRPr="005B37F0">
              <w:t>All project proposals must follow the template in Annex 1.</w:t>
            </w:r>
          </w:p>
        </w:tc>
      </w:tr>
    </w:tbl>
    <w:p w14:paraId="2F9ADCB3" w14:textId="682A0BA7" w:rsidR="0014210B" w:rsidRPr="005B37F0" w:rsidRDefault="0014210B" w:rsidP="005B37F0">
      <w:pPr>
        <w:widowControl w:val="0"/>
        <w:jc w:val="both"/>
        <w:rPr>
          <w:rFonts w:cs="Arial"/>
        </w:rPr>
      </w:pPr>
    </w:p>
    <w:p w14:paraId="66B2BBB8" w14:textId="34C58BF4" w:rsidR="0014210B" w:rsidRPr="005B37F0" w:rsidRDefault="0014210B" w:rsidP="005B37F0">
      <w:pPr>
        <w:widowControl w:val="0"/>
        <w:jc w:val="both"/>
        <w:rPr>
          <w:rFonts w:cs="Arial"/>
        </w:rPr>
      </w:pPr>
      <w:r w:rsidRPr="005B37F0">
        <w:rPr>
          <w:rFonts w:cs="Arial"/>
        </w:rPr>
        <w:t xml:space="preserve">The template can also be downloaded at: </w:t>
      </w:r>
      <w:hyperlink r:id="rId12" w:anchor="financial-inclusion" w:history="1">
        <w:r w:rsidR="005B37F0" w:rsidRPr="005B37F0">
          <w:rPr>
            <w:rStyle w:val="Hyperlink"/>
            <w:rFonts w:cs="Arial"/>
            <w:color w:val="auto"/>
            <w:u w:val="none"/>
          </w:rPr>
          <w:t>www.upu.int/en/universal-postal-union/activities/financial-services#</w:t>
        </w:r>
        <w:r w:rsidR="005B37F0" w:rsidRPr="005B37F0">
          <w:rPr>
            <w:rStyle w:val="Hyperlink"/>
            <w:rFonts w:cs="Arial"/>
            <w:color w:val="auto"/>
            <w:u w:val="none"/>
          </w:rPr>
          <w:br/>
          <w:t>financial-inclusion</w:t>
        </w:r>
      </w:hyperlink>
      <w:r w:rsidR="005152BE" w:rsidRPr="005B37F0">
        <w:rPr>
          <w:rFonts w:cs="Arial"/>
        </w:rPr>
        <w:t>.</w:t>
      </w:r>
    </w:p>
    <w:p w14:paraId="71D86F9C" w14:textId="77777777" w:rsidR="0014210B" w:rsidRPr="005B37F0" w:rsidRDefault="0014210B" w:rsidP="005B37F0">
      <w:pPr>
        <w:widowControl w:val="0"/>
        <w:jc w:val="both"/>
        <w:rPr>
          <w:rFonts w:cs="Arial"/>
        </w:rPr>
      </w:pPr>
    </w:p>
    <w:p w14:paraId="300DED85" w14:textId="5F2F7E3A" w:rsidR="0014210B" w:rsidRPr="005B37F0" w:rsidRDefault="0014210B" w:rsidP="005B37F0">
      <w:pPr>
        <w:widowControl w:val="0"/>
        <w:jc w:val="both"/>
        <w:rPr>
          <w:rFonts w:cs="Arial"/>
        </w:rPr>
      </w:pPr>
      <w:r w:rsidRPr="005B37F0">
        <w:rPr>
          <w:rFonts w:cs="Arial"/>
        </w:rPr>
        <w:t xml:space="preserve">It can also be requested by e-mailing </w:t>
      </w:r>
      <w:hyperlink r:id="rId13" w:history="1">
        <w:r w:rsidRPr="005B37F0">
          <w:rPr>
            <w:rStyle w:val="Hyperlink"/>
            <w:rFonts w:cs="Arial"/>
            <w:color w:val="auto"/>
            <w:u w:val="none"/>
          </w:rPr>
          <w:t>PITAF@upu.int</w:t>
        </w:r>
      </w:hyperlink>
      <w:r w:rsidRPr="005B37F0">
        <w:rPr>
          <w:rFonts w:cs="Arial"/>
        </w:rPr>
        <w:t>.</w:t>
      </w:r>
    </w:p>
    <w:p w14:paraId="295267D6" w14:textId="05ADD083" w:rsidR="0014210B" w:rsidRPr="005B37F0" w:rsidRDefault="0014210B" w:rsidP="005B37F0">
      <w:pPr>
        <w:widowControl w:val="0"/>
        <w:jc w:val="both"/>
        <w:rPr>
          <w:rFonts w:cs="Arial"/>
        </w:rPr>
      </w:pPr>
    </w:p>
    <w:p w14:paraId="7824E6B6" w14:textId="33AB4218" w:rsidR="0014210B" w:rsidRPr="005B37F0" w:rsidRDefault="0014210B" w:rsidP="005B37F0">
      <w:pPr>
        <w:widowControl w:val="0"/>
        <w:jc w:val="both"/>
        <w:rPr>
          <w:rFonts w:cs="Arial"/>
        </w:rPr>
      </w:pPr>
      <w:r w:rsidRPr="005B37F0">
        <w:rPr>
          <w:rFonts w:cs="Arial"/>
        </w:rPr>
        <w:t>Applications must include the following documents, in PDF format:</w:t>
      </w:r>
    </w:p>
    <w:tbl>
      <w:tblPr>
        <w:tblW w:w="10065" w:type="dxa"/>
        <w:tblInd w:w="-426" w:type="dxa"/>
        <w:tblBorders>
          <w:insideH w:val="single" w:sz="4" w:space="0" w:color="auto"/>
        </w:tblBorders>
        <w:tblLayout w:type="fixed"/>
        <w:tblCellMar>
          <w:left w:w="0" w:type="dxa"/>
          <w:right w:w="0" w:type="dxa"/>
        </w:tblCellMar>
        <w:tblLook w:val="0000" w:firstRow="0" w:lastRow="0" w:firstColumn="0" w:lastColumn="0" w:noHBand="0" w:noVBand="0"/>
      </w:tblPr>
      <w:tblGrid>
        <w:gridCol w:w="426"/>
        <w:gridCol w:w="9639"/>
      </w:tblGrid>
      <w:tr w:rsidR="005152BE" w:rsidRPr="005B37F0" w14:paraId="6AB13F9E" w14:textId="77777777" w:rsidTr="002F636C">
        <w:tc>
          <w:tcPr>
            <w:tcW w:w="426" w:type="dxa"/>
          </w:tcPr>
          <w:p w14:paraId="28C43049" w14:textId="77777777" w:rsidR="005152BE" w:rsidRPr="005B37F0" w:rsidRDefault="005152BE" w:rsidP="005B37F0">
            <w:pPr>
              <w:pStyle w:val="Barredanslamarge"/>
              <w:spacing w:before="120"/>
            </w:pPr>
          </w:p>
          <w:p w14:paraId="15542C54" w14:textId="7B2A81D8" w:rsidR="0014210B" w:rsidRPr="005B37F0" w:rsidRDefault="0014210B" w:rsidP="005B37F0">
            <w:pPr>
              <w:pStyle w:val="Barredanslamarge"/>
              <w:spacing w:before="120"/>
            </w:pPr>
            <w:r w:rsidRPr="005B37F0">
              <w:t>/</w:t>
            </w:r>
          </w:p>
        </w:tc>
        <w:tc>
          <w:tcPr>
            <w:tcW w:w="9639" w:type="dxa"/>
          </w:tcPr>
          <w:p w14:paraId="5C2EC93D" w14:textId="38151C49" w:rsidR="0014210B" w:rsidRPr="005B37F0" w:rsidRDefault="0014210B" w:rsidP="005B37F0">
            <w:pPr>
              <w:pStyle w:val="1Premierretrait"/>
              <w:rPr>
                <w:rFonts w:cs="Arial"/>
              </w:rPr>
            </w:pPr>
            <w:r w:rsidRPr="005B37F0">
              <w:rPr>
                <w:rFonts w:cs="Arial"/>
              </w:rPr>
              <w:t>Project proposal form (Annex 1);</w:t>
            </w:r>
          </w:p>
          <w:p w14:paraId="59353EA6" w14:textId="7E220BC5" w:rsidR="0014210B" w:rsidRPr="005B37F0" w:rsidRDefault="0014210B" w:rsidP="005B37F0">
            <w:pPr>
              <w:pStyle w:val="1Premierretrait"/>
              <w:rPr>
                <w:rFonts w:cs="Arial"/>
              </w:rPr>
            </w:pPr>
            <w:r w:rsidRPr="005B37F0">
              <w:rPr>
                <w:rFonts w:cs="Arial"/>
              </w:rPr>
              <w:t>Project budget form (Annex 2).</w:t>
            </w:r>
          </w:p>
        </w:tc>
      </w:tr>
    </w:tbl>
    <w:p w14:paraId="1967E161" w14:textId="58B65E52" w:rsidR="0014210B" w:rsidRPr="005B37F0" w:rsidRDefault="0014210B" w:rsidP="005B37F0">
      <w:pPr>
        <w:widowControl w:val="0"/>
        <w:jc w:val="both"/>
        <w:rPr>
          <w:rFonts w:cs="Arial"/>
        </w:rPr>
      </w:pPr>
    </w:p>
    <w:p w14:paraId="68433A55" w14:textId="77777777" w:rsidR="0014210B" w:rsidRPr="005B37F0" w:rsidRDefault="0014210B" w:rsidP="005B37F0">
      <w:pPr>
        <w:widowControl w:val="0"/>
        <w:jc w:val="both"/>
        <w:rPr>
          <w:rFonts w:cs="Arial"/>
        </w:rPr>
      </w:pPr>
      <w:r w:rsidRPr="005B37F0">
        <w:rPr>
          <w:rFonts w:cs="Arial"/>
        </w:rPr>
        <w:lastRenderedPageBreak/>
        <w:t>Applications must be submitted in English or French (working languages of the UPU International Bureau).</w:t>
      </w:r>
    </w:p>
    <w:p w14:paraId="7621B11B" w14:textId="77777777" w:rsidR="0014210B" w:rsidRPr="005B37F0" w:rsidRDefault="0014210B" w:rsidP="005B37F0">
      <w:pPr>
        <w:widowControl w:val="0"/>
        <w:jc w:val="both"/>
        <w:rPr>
          <w:rFonts w:cs="Arial"/>
        </w:rPr>
      </w:pPr>
    </w:p>
    <w:p w14:paraId="05945E09" w14:textId="38B725CA" w:rsidR="0014210B" w:rsidRPr="005B37F0" w:rsidRDefault="0014210B" w:rsidP="005B37F0">
      <w:pPr>
        <w:widowControl w:val="0"/>
        <w:jc w:val="both"/>
        <w:rPr>
          <w:rFonts w:cs="Arial"/>
        </w:rPr>
      </w:pPr>
      <w:r w:rsidRPr="005B37F0">
        <w:rPr>
          <w:rFonts w:cs="Arial"/>
        </w:rPr>
        <w:t xml:space="preserve">Applications must be submitted electronically to </w:t>
      </w:r>
      <w:hyperlink r:id="rId14" w:history="1">
        <w:r w:rsidRPr="005B37F0">
          <w:rPr>
            <w:rStyle w:val="Hyperlink"/>
            <w:rFonts w:cs="Arial"/>
            <w:color w:val="auto"/>
            <w:u w:val="none"/>
          </w:rPr>
          <w:t>PITAF@upu.int</w:t>
        </w:r>
      </w:hyperlink>
      <w:r w:rsidRPr="005B37F0">
        <w:rPr>
          <w:rFonts w:cs="Arial"/>
        </w:rPr>
        <w:t xml:space="preserve"> </w:t>
      </w:r>
      <w:r w:rsidRPr="005B37F0">
        <w:rPr>
          <w:rFonts w:cs="Arial"/>
          <w:b/>
          <w:bCs/>
        </w:rPr>
        <w:t>by 29 August 2025</w:t>
      </w:r>
      <w:r w:rsidRPr="005B37F0">
        <w:rPr>
          <w:rFonts w:cs="Arial"/>
        </w:rPr>
        <w:t xml:space="preserve">. </w:t>
      </w:r>
    </w:p>
    <w:p w14:paraId="27E83140" w14:textId="77777777" w:rsidR="0014210B" w:rsidRPr="005B37F0" w:rsidRDefault="0014210B" w:rsidP="005B37F0">
      <w:pPr>
        <w:widowControl w:val="0"/>
        <w:jc w:val="both"/>
        <w:rPr>
          <w:rFonts w:cs="Arial"/>
        </w:rPr>
      </w:pPr>
    </w:p>
    <w:p w14:paraId="11B61DA6" w14:textId="77777777" w:rsidR="0014210B" w:rsidRPr="005B37F0" w:rsidRDefault="0014210B" w:rsidP="005B37F0">
      <w:pPr>
        <w:widowControl w:val="0"/>
        <w:jc w:val="both"/>
        <w:rPr>
          <w:rFonts w:cs="Arial"/>
        </w:rPr>
      </w:pPr>
      <w:r w:rsidRPr="005B37F0">
        <w:rPr>
          <w:rFonts w:cs="Arial"/>
        </w:rPr>
        <w:t>Applications that do not meet the above requirements will not be taken into consideration.</w:t>
      </w:r>
    </w:p>
    <w:p w14:paraId="129C2207" w14:textId="77777777" w:rsidR="0014210B" w:rsidRPr="005B37F0" w:rsidRDefault="0014210B" w:rsidP="005B37F0">
      <w:pPr>
        <w:widowControl w:val="0"/>
        <w:jc w:val="both"/>
        <w:rPr>
          <w:rFonts w:cs="Arial"/>
        </w:rPr>
      </w:pPr>
    </w:p>
    <w:p w14:paraId="674D5ADC" w14:textId="7E1690D5" w:rsidR="0014210B" w:rsidRPr="005B37F0" w:rsidRDefault="0014210B" w:rsidP="005B37F0">
      <w:pPr>
        <w:widowControl w:val="0"/>
        <w:jc w:val="both"/>
        <w:rPr>
          <w:rFonts w:cs="Arial"/>
        </w:rPr>
      </w:pPr>
      <w:r w:rsidRPr="005B37F0">
        <w:rPr>
          <w:rFonts w:cs="Arial"/>
        </w:rPr>
        <w:t xml:space="preserve">Contact: </w:t>
      </w:r>
      <w:hyperlink r:id="rId15" w:history="1">
        <w:r w:rsidRPr="005B37F0">
          <w:rPr>
            <w:rStyle w:val="Hyperlink"/>
            <w:rFonts w:cs="Arial"/>
            <w:color w:val="auto"/>
            <w:u w:val="none"/>
          </w:rPr>
          <w:t>PITAF@upu.int</w:t>
        </w:r>
      </w:hyperlink>
      <w:bookmarkEnd w:id="7"/>
      <w:bookmarkEnd w:id="11"/>
      <w:bookmarkEnd w:id="12"/>
      <w:bookmarkEnd w:id="13"/>
      <w:bookmarkEnd w:id="14"/>
      <w:bookmarkEnd w:id="15"/>
    </w:p>
    <w:sectPr w:rsidR="0014210B" w:rsidRPr="005B37F0" w:rsidSect="00A420EA">
      <w:headerReference w:type="even" r:id="rId16"/>
      <w:headerReference w:type="default" r:id="rId17"/>
      <w:headerReference w:type="first" r:id="rId18"/>
      <w:footerReference w:type="first" r:id="rId19"/>
      <w:footnotePr>
        <w:numRestart w:val="eachPage"/>
      </w:footnotePr>
      <w:endnotePr>
        <w:numFmt w:val="decimal"/>
      </w:endnotePr>
      <w:pgSz w:w="11907" w:h="16840" w:code="9"/>
      <w:pgMar w:top="1134" w:right="851" w:bottom="851" w:left="1418" w:header="709" w:footer="567"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B62FE" w14:textId="77777777" w:rsidR="004A441D" w:rsidRDefault="004A441D">
      <w:pPr>
        <w:spacing w:after="120"/>
        <w:rPr>
          <w:sz w:val="18"/>
        </w:rPr>
      </w:pPr>
      <w:r>
        <w:rPr>
          <w:sz w:val="18"/>
        </w:rPr>
        <w:t>____________</w:t>
      </w:r>
    </w:p>
  </w:endnote>
  <w:endnote w:type="continuationSeparator" w:id="0">
    <w:p w14:paraId="236D6E0B" w14:textId="77777777" w:rsidR="004A441D" w:rsidRDefault="004A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45 Helvetica Ligh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EB2F" w14:textId="6A8D0493" w:rsidR="0014210B" w:rsidRPr="0014210B" w:rsidRDefault="0014210B">
    <w:pPr>
      <w:pStyle w:val="Footer"/>
      <w:rPr>
        <w:vanish/>
      </w:rPr>
    </w:pPr>
    <w:r w:rsidRPr="0014210B">
      <w:rPr>
        <w:vanish/>
      </w:rPr>
      <w:t>Dae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77A3E" w14:textId="77777777" w:rsidR="004A441D" w:rsidRDefault="004A441D" w:rsidP="009E7ADC">
      <w:pPr>
        <w:rPr>
          <w:sz w:val="18"/>
        </w:rPr>
      </w:pPr>
    </w:p>
  </w:footnote>
  <w:footnote w:type="continuationSeparator" w:id="0">
    <w:p w14:paraId="44E49F83" w14:textId="77777777" w:rsidR="004A441D" w:rsidRDefault="004A441D" w:rsidP="009E7ADC"/>
  </w:footnote>
  <w:footnote w:type="continuationNotice" w:id="1">
    <w:p w14:paraId="4CAD9580" w14:textId="77777777" w:rsidR="004A441D" w:rsidRDefault="004A441D" w:rsidP="004E2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9013" w14:textId="77777777" w:rsidR="00E77A98" w:rsidRDefault="00E77A98">
    <w:pPr>
      <w:jc w:val="center"/>
    </w:pPr>
    <w:r>
      <w:pgNum/>
    </w:r>
  </w:p>
  <w:p w14:paraId="67801DA3" w14:textId="77777777" w:rsidR="00E77A98" w:rsidRDefault="00E77A98">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388C" w14:textId="77777777" w:rsidR="00E77A98" w:rsidRDefault="00E77A98" w:rsidP="00F639BA">
    <w:pPr>
      <w:jc w:val="center"/>
    </w:pPr>
    <w:r>
      <w:pgNum/>
    </w:r>
  </w:p>
  <w:p w14:paraId="04FD05E4" w14:textId="77777777" w:rsidR="00E77A98" w:rsidRDefault="00E77A98"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E77A98" w:rsidRPr="00024935" w14:paraId="0F1AE3AF" w14:textId="77777777">
      <w:trPr>
        <w:trHeight w:val="1418"/>
      </w:trPr>
      <w:tc>
        <w:tcPr>
          <w:tcW w:w="3969" w:type="dxa"/>
        </w:tcPr>
        <w:p w14:paraId="60AFA00C" w14:textId="77777777" w:rsidR="00E77A98" w:rsidRPr="00024935" w:rsidRDefault="00E77A98" w:rsidP="00AE0D85">
          <w:pPr>
            <w:pStyle w:val="Header"/>
            <w:spacing w:before="20" w:after="1180"/>
            <w:rPr>
              <w:rFonts w:ascii="45 Helvetica Light" w:hAnsi="45 Helvetica Light"/>
              <w:sz w:val="18"/>
            </w:rPr>
          </w:pPr>
          <w:r>
            <w:rPr>
              <w:rFonts w:ascii="45 Helvetica Light" w:hAnsi="45 Helvetica Light"/>
              <w:noProof/>
              <w:sz w:val="18"/>
              <w:lang w:val="en-US" w:eastAsia="en-US"/>
            </w:rPr>
            <w:drawing>
              <wp:inline distT="0" distB="0" distL="0" distR="0" wp14:anchorId="259FE05C" wp14:editId="016EE991">
                <wp:extent cx="1638300" cy="45720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inline>
            </w:drawing>
          </w:r>
        </w:p>
      </w:tc>
      <w:tc>
        <w:tcPr>
          <w:tcW w:w="5670" w:type="dxa"/>
        </w:tcPr>
        <w:p w14:paraId="4C9BC67F" w14:textId="43F096F3" w:rsidR="00E77A98" w:rsidRPr="00024935" w:rsidRDefault="00E77A98" w:rsidP="00C35525">
          <w:pPr>
            <w:autoSpaceDE w:val="0"/>
            <w:autoSpaceDN w:val="0"/>
            <w:adjustRightInd w:val="0"/>
            <w:jc w:val="right"/>
          </w:pPr>
        </w:p>
      </w:tc>
    </w:tr>
  </w:tbl>
  <w:p w14:paraId="159D797B" w14:textId="77777777" w:rsidR="00E77A98" w:rsidRPr="00024935" w:rsidRDefault="00E77A98"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CC623F8"/>
    <w:lvl w:ilvl="0">
      <w:start w:val="5"/>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b w:val="0"/>
        <w:bCs w:val="0"/>
        <w:i/>
        <w:iCs/>
        <w:sz w:val="20"/>
        <w:szCs w:val="2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143090C"/>
    <w:multiLevelType w:val="multilevel"/>
    <w:tmpl w:val="843C8AD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DF14B8"/>
    <w:multiLevelType w:val="hybridMultilevel"/>
    <w:tmpl w:val="181C32FA"/>
    <w:lvl w:ilvl="0" w:tplc="100C0001">
      <w:start w:val="1"/>
      <w:numFmt w:val="bullet"/>
      <w:lvlText w:val=""/>
      <w:lvlJc w:val="left"/>
      <w:pPr>
        <w:tabs>
          <w:tab w:val="num" w:pos="567"/>
        </w:tabs>
        <w:ind w:left="567" w:hanging="567"/>
      </w:pPr>
      <w:rPr>
        <w:rFonts w:ascii="Symbol" w:hAnsi="Symbol"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1553A"/>
    <w:multiLevelType w:val="hybridMultilevel"/>
    <w:tmpl w:val="666A4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F55F1"/>
    <w:multiLevelType w:val="singleLevel"/>
    <w:tmpl w:val="9C4A55B2"/>
    <w:lvl w:ilvl="0">
      <w:numFmt w:val="bullet"/>
      <w:pStyle w:val="1Premierretrait"/>
      <w:lvlText w:val="–"/>
      <w:lvlJc w:val="left"/>
      <w:pPr>
        <w:tabs>
          <w:tab w:val="num" w:pos="567"/>
        </w:tabs>
        <w:ind w:left="567" w:hanging="567"/>
      </w:pPr>
      <w:rPr>
        <w:rFonts w:ascii="Arial" w:hAnsi="Arial" w:cs="Times New Roman" w:hint="default"/>
        <w:b w:val="0"/>
        <w:i w:val="0"/>
        <w:sz w:val="20"/>
        <w:szCs w:val="20"/>
      </w:rPr>
    </w:lvl>
  </w:abstractNum>
  <w:abstractNum w:abstractNumId="5" w15:restartNumberingAfterBreak="0">
    <w:nsid w:val="0DA519FE"/>
    <w:multiLevelType w:val="singleLevel"/>
    <w:tmpl w:val="9ADC5EB6"/>
    <w:lvl w:ilvl="0">
      <w:numFmt w:val="bullet"/>
      <w:pStyle w:val="3Troisimeretrait"/>
      <w:lvlText w:val="–"/>
      <w:lvlJc w:val="left"/>
      <w:pPr>
        <w:tabs>
          <w:tab w:val="num" w:pos="1701"/>
        </w:tabs>
        <w:ind w:left="1701" w:hanging="567"/>
      </w:pPr>
      <w:rPr>
        <w:rFonts w:ascii="Arial" w:hAnsi="Arial" w:cs="Times New Roman" w:hint="default"/>
        <w:b w:val="0"/>
        <w:i w:val="0"/>
        <w:sz w:val="20"/>
        <w:szCs w:val="20"/>
      </w:rPr>
    </w:lvl>
  </w:abstractNum>
  <w:abstractNum w:abstractNumId="6" w15:restartNumberingAfterBreak="0">
    <w:nsid w:val="0E72673A"/>
    <w:multiLevelType w:val="hybridMultilevel"/>
    <w:tmpl w:val="BA26E20C"/>
    <w:lvl w:ilvl="0" w:tplc="E9947F40">
      <w:start w:val="19"/>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D156D"/>
    <w:multiLevelType w:val="multilevel"/>
    <w:tmpl w:val="1B1660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D1558"/>
    <w:multiLevelType w:val="multilevel"/>
    <w:tmpl w:val="F88A91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A645C3"/>
    <w:multiLevelType w:val="hybridMultilevel"/>
    <w:tmpl w:val="34D427CC"/>
    <w:lvl w:ilvl="0" w:tplc="CA8864E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5490E"/>
    <w:multiLevelType w:val="hybridMultilevel"/>
    <w:tmpl w:val="ACEC55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DC1258"/>
    <w:multiLevelType w:val="multilevel"/>
    <w:tmpl w:val="2CBA5E50"/>
    <w:lvl w:ilvl="0">
      <w:start w:val="2"/>
      <w:numFmt w:val="decimal"/>
      <w:lvlText w:val="%1"/>
      <w:lvlJc w:val="left"/>
      <w:pPr>
        <w:ind w:left="502" w:hanging="360"/>
      </w:pPr>
      <w:rPr>
        <w:rFonts w:hint="default"/>
      </w:rPr>
    </w:lvl>
    <w:lvl w:ilvl="1">
      <w:start w:val="3"/>
      <w:numFmt w:val="decimal"/>
      <w:lvlText w:val="2.%2"/>
      <w:lvlJc w:val="left"/>
      <w:pPr>
        <w:ind w:left="360" w:hanging="360"/>
      </w:pPr>
      <w:rPr>
        <w:rFonts w:hint="default"/>
        <w:b w:val="0"/>
        <w:bCs w:val="0"/>
        <w:i/>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0B5DA4"/>
    <w:multiLevelType w:val="hybridMultilevel"/>
    <w:tmpl w:val="5F968964"/>
    <w:lvl w:ilvl="0" w:tplc="32A6836C">
      <w:start w:val="6"/>
      <w:numFmt w:val="decimal"/>
      <w:lvlText w:val="2.%1"/>
      <w:lvlJc w:val="left"/>
      <w:pPr>
        <w:ind w:left="644" w:hanging="360"/>
      </w:pPr>
      <w:rPr>
        <w:rFonts w:hint="default"/>
        <w:b w:val="0"/>
        <w:bCs w:val="0"/>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8272BB"/>
    <w:multiLevelType w:val="hybridMultilevel"/>
    <w:tmpl w:val="700E4260"/>
    <w:lvl w:ilvl="0" w:tplc="0794243A">
      <w:start w:val="20"/>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D229D"/>
    <w:multiLevelType w:val="hybridMultilevel"/>
    <w:tmpl w:val="3F225BFA"/>
    <w:lvl w:ilvl="0" w:tplc="D5B286D2">
      <w:numFmt w:val="bullet"/>
      <w:lvlText w:val="–"/>
      <w:lvlJc w:val="left"/>
      <w:pPr>
        <w:ind w:left="720" w:hanging="360"/>
      </w:pPr>
      <w:rPr>
        <w:rFonts w:ascii="Bookman Old Style"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01FB7"/>
    <w:multiLevelType w:val="hybridMultilevel"/>
    <w:tmpl w:val="DECA7F9E"/>
    <w:lvl w:ilvl="0" w:tplc="735C1EFC">
      <w:start w:val="1"/>
      <w:numFmt w:val="decimal"/>
      <w:lvlText w:val="2.%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EE42D5"/>
    <w:multiLevelType w:val="hybridMultilevel"/>
    <w:tmpl w:val="0F68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A4504"/>
    <w:multiLevelType w:val="hybridMultilevel"/>
    <w:tmpl w:val="B710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82F48"/>
    <w:multiLevelType w:val="hybridMultilevel"/>
    <w:tmpl w:val="CC124D38"/>
    <w:lvl w:ilvl="0" w:tplc="AA9A4CE6">
      <w:start w:val="1"/>
      <w:numFmt w:val="decimal"/>
      <w:lvlText w:val="2.%1."/>
      <w:lvlJc w:val="left"/>
      <w:pPr>
        <w:ind w:left="502" w:hanging="360"/>
      </w:pPr>
      <w:rPr>
        <w:rFonts w:hint="default"/>
        <w:b w:val="0"/>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397F7602"/>
    <w:multiLevelType w:val="multilevel"/>
    <w:tmpl w:val="1E0AAB50"/>
    <w:lvl w:ilvl="0">
      <w:start w:val="4"/>
      <w:numFmt w:val="decimal"/>
      <w:lvlText w:val="%1"/>
      <w:lvlJc w:val="left"/>
      <w:pPr>
        <w:ind w:left="360" w:hanging="360"/>
      </w:pPr>
      <w:rPr>
        <w:rFonts w:cs="Times New Roman" w:hint="default"/>
        <w:i w:val="0"/>
      </w:rPr>
    </w:lvl>
    <w:lvl w:ilvl="1">
      <w:start w:val="1"/>
      <w:numFmt w:val="decimal"/>
      <w:lvlText w:val="%1.%2"/>
      <w:lvlJc w:val="left"/>
      <w:pPr>
        <w:ind w:left="1211" w:hanging="360"/>
      </w:pPr>
      <w:rPr>
        <w:rFonts w:cs="Times New Roman" w:hint="default"/>
        <w:i/>
        <w:iCs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20" w15:restartNumberingAfterBreak="0">
    <w:nsid w:val="39F7675E"/>
    <w:multiLevelType w:val="hybridMultilevel"/>
    <w:tmpl w:val="3FB0C3D8"/>
    <w:lvl w:ilvl="0" w:tplc="0409000F">
      <w:start w:val="1"/>
      <w:numFmt w:val="decimal"/>
      <w:lvlText w:val="%1."/>
      <w:lvlJc w:val="left"/>
      <w:pPr>
        <w:ind w:left="360" w:hanging="360"/>
      </w:pPr>
    </w:lvl>
    <w:lvl w:ilvl="1" w:tplc="1F28B0C0">
      <w:start w:val="1"/>
      <w:numFmt w:val="decimal"/>
      <w:lvlText w:val="2.%2"/>
      <w:lvlJc w:val="left"/>
      <w:pPr>
        <w:ind w:left="644" w:hanging="360"/>
      </w:pPr>
      <w:rPr>
        <w:rFonts w:hint="default"/>
        <w:b w:val="0"/>
        <w:bCs w:val="0"/>
        <w:i/>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18198B"/>
    <w:multiLevelType w:val="hybridMultilevel"/>
    <w:tmpl w:val="535E9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664B9C"/>
    <w:multiLevelType w:val="hybridMultilevel"/>
    <w:tmpl w:val="B50AB4CA"/>
    <w:lvl w:ilvl="0" w:tplc="CA8864E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4C2564"/>
    <w:multiLevelType w:val="singleLevel"/>
    <w:tmpl w:val="040C000F"/>
    <w:lvl w:ilvl="0">
      <w:start w:val="1"/>
      <w:numFmt w:val="decimal"/>
      <w:pStyle w:val="2aDeuxiemeretraitfortables"/>
      <w:lvlText w:val="%1."/>
      <w:lvlJc w:val="left"/>
      <w:pPr>
        <w:tabs>
          <w:tab w:val="num" w:pos="360"/>
        </w:tabs>
        <w:ind w:left="360" w:hanging="360"/>
      </w:pPr>
    </w:lvl>
  </w:abstractNum>
  <w:abstractNum w:abstractNumId="24" w15:restartNumberingAfterBreak="0">
    <w:nsid w:val="45C963D6"/>
    <w:multiLevelType w:val="hybridMultilevel"/>
    <w:tmpl w:val="985EC63E"/>
    <w:lvl w:ilvl="0" w:tplc="735C1EFC">
      <w:start w:val="1"/>
      <w:numFmt w:val="decimal"/>
      <w:lvlText w:val="2.%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95144"/>
    <w:multiLevelType w:val="multilevel"/>
    <w:tmpl w:val="C84A578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914FF6"/>
    <w:multiLevelType w:val="hybridMultilevel"/>
    <w:tmpl w:val="9C4A36EE"/>
    <w:lvl w:ilvl="0" w:tplc="0409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5B40CD"/>
    <w:multiLevelType w:val="hybridMultilevel"/>
    <w:tmpl w:val="92FE9908"/>
    <w:lvl w:ilvl="0" w:tplc="100C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36950"/>
    <w:multiLevelType w:val="multilevel"/>
    <w:tmpl w:val="C84A578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B10F00"/>
    <w:multiLevelType w:val="hybridMultilevel"/>
    <w:tmpl w:val="3C40E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E26157"/>
    <w:multiLevelType w:val="multilevel"/>
    <w:tmpl w:val="2CBA5E50"/>
    <w:lvl w:ilvl="0">
      <w:start w:val="2"/>
      <w:numFmt w:val="decimal"/>
      <w:lvlText w:val="%1"/>
      <w:lvlJc w:val="left"/>
      <w:pPr>
        <w:ind w:left="502" w:hanging="360"/>
      </w:pPr>
      <w:rPr>
        <w:rFonts w:hint="default"/>
      </w:rPr>
    </w:lvl>
    <w:lvl w:ilvl="1">
      <w:start w:val="3"/>
      <w:numFmt w:val="decimal"/>
      <w:lvlText w:val="2.%2"/>
      <w:lvlJc w:val="left"/>
      <w:pPr>
        <w:ind w:left="360" w:hanging="360"/>
      </w:pPr>
      <w:rPr>
        <w:rFonts w:hint="default"/>
        <w:b w:val="0"/>
        <w:bCs w:val="0"/>
        <w:i/>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05334F"/>
    <w:multiLevelType w:val="hybridMultilevel"/>
    <w:tmpl w:val="461638CC"/>
    <w:lvl w:ilvl="0" w:tplc="5B24D62A">
      <w:start w:val="18"/>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6C3C82"/>
    <w:multiLevelType w:val="hybridMultilevel"/>
    <w:tmpl w:val="0FA229B6"/>
    <w:lvl w:ilvl="0" w:tplc="100C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36016"/>
    <w:multiLevelType w:val="multilevel"/>
    <w:tmpl w:val="FBCC4A2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C7612A"/>
    <w:multiLevelType w:val="hybridMultilevel"/>
    <w:tmpl w:val="9632A0B6"/>
    <w:lvl w:ilvl="0" w:tplc="9B6044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7447B9"/>
    <w:multiLevelType w:val="hybridMultilevel"/>
    <w:tmpl w:val="6E146E74"/>
    <w:lvl w:ilvl="0" w:tplc="D5B286D2">
      <w:numFmt w:val="bullet"/>
      <w:lvlText w:val="–"/>
      <w:lvlJc w:val="left"/>
      <w:pPr>
        <w:ind w:left="770" w:hanging="360"/>
      </w:pPr>
      <w:rPr>
        <w:rFonts w:ascii="Bookman Old Style" w:hAnsi="Bookman Old Style"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6" w15:restartNumberingAfterBreak="0">
    <w:nsid w:val="66785C1A"/>
    <w:multiLevelType w:val="hybridMultilevel"/>
    <w:tmpl w:val="29DE8CDA"/>
    <w:lvl w:ilvl="0" w:tplc="EE920470">
      <w:start w:val="1"/>
      <w:numFmt w:val="bullet"/>
      <w:lvlText w:val=""/>
      <w:lvlJc w:val="left"/>
      <w:pPr>
        <w:tabs>
          <w:tab w:val="num" w:pos="644"/>
        </w:tabs>
        <w:ind w:left="624" w:hanging="340"/>
      </w:pPr>
      <w:rPr>
        <w:rFonts w:ascii="Symbol" w:hAnsi="Symbol" w:hint="default"/>
      </w:rPr>
    </w:lvl>
    <w:lvl w:ilvl="1" w:tplc="8C701170" w:tentative="1">
      <w:start w:val="1"/>
      <w:numFmt w:val="bullet"/>
      <w:lvlText w:val="o"/>
      <w:lvlJc w:val="left"/>
      <w:pPr>
        <w:tabs>
          <w:tab w:val="num" w:pos="1724"/>
        </w:tabs>
        <w:ind w:left="1724" w:hanging="360"/>
      </w:pPr>
      <w:rPr>
        <w:rFonts w:ascii="Courier New" w:hAnsi="Courier New" w:hint="default"/>
      </w:rPr>
    </w:lvl>
    <w:lvl w:ilvl="2" w:tplc="60CA858A" w:tentative="1">
      <w:start w:val="1"/>
      <w:numFmt w:val="bullet"/>
      <w:lvlText w:val=""/>
      <w:lvlJc w:val="left"/>
      <w:pPr>
        <w:tabs>
          <w:tab w:val="num" w:pos="2444"/>
        </w:tabs>
        <w:ind w:left="2444" w:hanging="360"/>
      </w:pPr>
      <w:rPr>
        <w:rFonts w:ascii="Wingdings" w:hAnsi="Wingdings" w:hint="default"/>
      </w:rPr>
    </w:lvl>
    <w:lvl w:ilvl="3" w:tplc="664CDF6E" w:tentative="1">
      <w:start w:val="1"/>
      <w:numFmt w:val="bullet"/>
      <w:lvlText w:val=""/>
      <w:lvlJc w:val="left"/>
      <w:pPr>
        <w:tabs>
          <w:tab w:val="num" w:pos="3164"/>
        </w:tabs>
        <w:ind w:left="3164" w:hanging="360"/>
      </w:pPr>
      <w:rPr>
        <w:rFonts w:ascii="Symbol" w:hAnsi="Symbol" w:hint="default"/>
      </w:rPr>
    </w:lvl>
    <w:lvl w:ilvl="4" w:tplc="008AED28" w:tentative="1">
      <w:start w:val="1"/>
      <w:numFmt w:val="bullet"/>
      <w:lvlText w:val="o"/>
      <w:lvlJc w:val="left"/>
      <w:pPr>
        <w:tabs>
          <w:tab w:val="num" w:pos="3884"/>
        </w:tabs>
        <w:ind w:left="3884" w:hanging="360"/>
      </w:pPr>
      <w:rPr>
        <w:rFonts w:ascii="Courier New" w:hAnsi="Courier New" w:hint="default"/>
      </w:rPr>
    </w:lvl>
    <w:lvl w:ilvl="5" w:tplc="A9688DD6" w:tentative="1">
      <w:start w:val="1"/>
      <w:numFmt w:val="bullet"/>
      <w:lvlText w:val=""/>
      <w:lvlJc w:val="left"/>
      <w:pPr>
        <w:tabs>
          <w:tab w:val="num" w:pos="4604"/>
        </w:tabs>
        <w:ind w:left="4604" w:hanging="360"/>
      </w:pPr>
      <w:rPr>
        <w:rFonts w:ascii="Wingdings" w:hAnsi="Wingdings" w:hint="default"/>
      </w:rPr>
    </w:lvl>
    <w:lvl w:ilvl="6" w:tplc="B578423A" w:tentative="1">
      <w:start w:val="1"/>
      <w:numFmt w:val="bullet"/>
      <w:lvlText w:val=""/>
      <w:lvlJc w:val="left"/>
      <w:pPr>
        <w:tabs>
          <w:tab w:val="num" w:pos="5324"/>
        </w:tabs>
        <w:ind w:left="5324" w:hanging="360"/>
      </w:pPr>
      <w:rPr>
        <w:rFonts w:ascii="Symbol" w:hAnsi="Symbol" w:hint="default"/>
      </w:rPr>
    </w:lvl>
    <w:lvl w:ilvl="7" w:tplc="129ADD24" w:tentative="1">
      <w:start w:val="1"/>
      <w:numFmt w:val="bullet"/>
      <w:lvlText w:val="o"/>
      <w:lvlJc w:val="left"/>
      <w:pPr>
        <w:tabs>
          <w:tab w:val="num" w:pos="6044"/>
        </w:tabs>
        <w:ind w:left="6044" w:hanging="360"/>
      </w:pPr>
      <w:rPr>
        <w:rFonts w:ascii="Courier New" w:hAnsi="Courier New" w:hint="default"/>
      </w:rPr>
    </w:lvl>
    <w:lvl w:ilvl="8" w:tplc="2A0EDC8C"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6ADB125E"/>
    <w:multiLevelType w:val="singleLevel"/>
    <w:tmpl w:val="0F1C0B60"/>
    <w:lvl w:ilvl="0">
      <w:numFmt w:val="bullet"/>
      <w:pStyle w:val="2Deuximeretrait"/>
      <w:lvlText w:val=""/>
      <w:lvlJc w:val="left"/>
      <w:pPr>
        <w:tabs>
          <w:tab w:val="num" w:pos="1134"/>
        </w:tabs>
        <w:ind w:left="1134" w:hanging="567"/>
      </w:pPr>
      <w:rPr>
        <w:rFonts w:ascii="Symbol" w:hAnsi="Symbol" w:hint="default"/>
      </w:rPr>
    </w:lvl>
  </w:abstractNum>
  <w:abstractNum w:abstractNumId="38" w15:restartNumberingAfterBreak="0">
    <w:nsid w:val="6C7356EF"/>
    <w:multiLevelType w:val="hybridMultilevel"/>
    <w:tmpl w:val="D17E55E6"/>
    <w:lvl w:ilvl="0" w:tplc="CA8864E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883BC2"/>
    <w:multiLevelType w:val="hybridMultilevel"/>
    <w:tmpl w:val="BDBA2D1A"/>
    <w:lvl w:ilvl="0" w:tplc="AC689E5C">
      <w:numFmt w:val="bulle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197D0D"/>
    <w:multiLevelType w:val="multilevel"/>
    <w:tmpl w:val="56788EF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6D27EF"/>
    <w:multiLevelType w:val="hybridMultilevel"/>
    <w:tmpl w:val="3B327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A4196B"/>
    <w:multiLevelType w:val="multilevel"/>
    <w:tmpl w:val="1B1660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3F6C1E"/>
    <w:multiLevelType w:val="hybridMultilevel"/>
    <w:tmpl w:val="28FA44DA"/>
    <w:lvl w:ilvl="0" w:tplc="CA8864E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CF6B9B"/>
    <w:multiLevelType w:val="hybridMultilevel"/>
    <w:tmpl w:val="C5CA7E5A"/>
    <w:lvl w:ilvl="0" w:tplc="100C0015">
      <w:start w:val="1"/>
      <w:numFmt w:val="upperLetter"/>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F20B7C"/>
    <w:multiLevelType w:val="hybridMultilevel"/>
    <w:tmpl w:val="A566AEA6"/>
    <w:lvl w:ilvl="0" w:tplc="9B6044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4"/>
  </w:num>
  <w:num w:numId="3">
    <w:abstractNumId w:val="37"/>
  </w:num>
  <w:num w:numId="4">
    <w:abstractNumId w:val="5"/>
  </w:num>
  <w:num w:numId="5">
    <w:abstractNumId w:val="39"/>
  </w:num>
  <w:num w:numId="6">
    <w:abstractNumId w:val="0"/>
  </w:num>
  <w:num w:numId="7">
    <w:abstractNumId w:val="0"/>
    <w:lvlOverride w:ilvl="0">
      <w:startOverride w:val="3"/>
    </w:lvlOverride>
    <w:lvlOverride w:ilvl="1">
      <w:startOverride w:val="2"/>
    </w:lvlOverride>
  </w:num>
  <w:num w:numId="8">
    <w:abstractNumId w:val="2"/>
  </w:num>
  <w:num w:numId="9">
    <w:abstractNumId w:val="26"/>
  </w:num>
  <w:num w:numId="10">
    <w:abstractNumId w:val="20"/>
  </w:num>
  <w:num w:numId="11">
    <w:abstractNumId w:val="15"/>
  </w:num>
  <w:num w:numId="12">
    <w:abstractNumId w:val="35"/>
  </w:num>
  <w:num w:numId="13">
    <w:abstractNumId w:val="14"/>
  </w:num>
  <w:num w:numId="14">
    <w:abstractNumId w:val="3"/>
  </w:num>
  <w:num w:numId="15">
    <w:abstractNumId w:val="24"/>
  </w:num>
  <w:num w:numId="16">
    <w:abstractNumId w:val="18"/>
  </w:num>
  <w:num w:numId="17">
    <w:abstractNumId w:val="10"/>
  </w:num>
  <w:num w:numId="18">
    <w:abstractNumId w:val="43"/>
  </w:num>
  <w:num w:numId="19">
    <w:abstractNumId w:val="22"/>
  </w:num>
  <w:num w:numId="20">
    <w:abstractNumId w:val="31"/>
  </w:num>
  <w:num w:numId="21">
    <w:abstractNumId w:val="36"/>
  </w:num>
  <w:num w:numId="22">
    <w:abstractNumId w:val="9"/>
  </w:num>
  <w:num w:numId="23">
    <w:abstractNumId w:val="6"/>
  </w:num>
  <w:num w:numId="24">
    <w:abstractNumId w:val="38"/>
  </w:num>
  <w:num w:numId="25">
    <w:abstractNumId w:val="13"/>
  </w:num>
  <w:num w:numId="26">
    <w:abstractNumId w:val="21"/>
  </w:num>
  <w:num w:numId="27">
    <w:abstractNumId w:val="41"/>
  </w:num>
  <w:num w:numId="28">
    <w:abstractNumId w:val="25"/>
  </w:num>
  <w:num w:numId="29">
    <w:abstractNumId w:val="44"/>
  </w:num>
  <w:num w:numId="30">
    <w:abstractNumId w:val="19"/>
  </w:num>
  <w:num w:numId="31">
    <w:abstractNumId w:val="27"/>
  </w:num>
  <w:num w:numId="32">
    <w:abstractNumId w:val="32"/>
  </w:num>
  <w:num w:numId="33">
    <w:abstractNumId w:val="16"/>
  </w:num>
  <w:num w:numId="34">
    <w:abstractNumId w:val="17"/>
  </w:num>
  <w:num w:numId="35">
    <w:abstractNumId w:val="40"/>
  </w:num>
  <w:num w:numId="36">
    <w:abstractNumId w:val="4"/>
  </w:num>
  <w:num w:numId="37">
    <w:abstractNumId w:val="4"/>
  </w:num>
  <w:num w:numId="38">
    <w:abstractNumId w:val="4"/>
  </w:num>
  <w:num w:numId="39">
    <w:abstractNumId w:val="1"/>
  </w:num>
  <w:num w:numId="40">
    <w:abstractNumId w:val="33"/>
  </w:num>
  <w:num w:numId="41">
    <w:abstractNumId w:val="30"/>
  </w:num>
  <w:num w:numId="42">
    <w:abstractNumId w:val="12"/>
  </w:num>
  <w:num w:numId="43">
    <w:abstractNumId w:val="29"/>
  </w:num>
  <w:num w:numId="44">
    <w:abstractNumId w:val="28"/>
  </w:num>
  <w:num w:numId="45">
    <w:abstractNumId w:val="7"/>
  </w:num>
  <w:num w:numId="46">
    <w:abstractNumId w:val="34"/>
  </w:num>
  <w:num w:numId="47">
    <w:abstractNumId w:val="45"/>
  </w:num>
  <w:num w:numId="48">
    <w:abstractNumId w:val="8"/>
  </w:num>
  <w:num w:numId="49">
    <w:abstractNumId w:val="42"/>
  </w:num>
  <w:num w:numId="5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fill="f" fillcolor="white" stroke="f">
      <v:fill color="white" on="f"/>
      <v:stroke on="f"/>
    </o:shapedefaults>
  </w:hdrShapeDefaults>
  <w:footnotePr>
    <w:numRestart w:val="eachPage"/>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96F"/>
    <w:rsid w:val="000021DD"/>
    <w:rsid w:val="00004D2B"/>
    <w:rsid w:val="00014A9E"/>
    <w:rsid w:val="000176ED"/>
    <w:rsid w:val="00022373"/>
    <w:rsid w:val="0002298F"/>
    <w:rsid w:val="00023669"/>
    <w:rsid w:val="00024935"/>
    <w:rsid w:val="00026EC5"/>
    <w:rsid w:val="00027A7D"/>
    <w:rsid w:val="000465C9"/>
    <w:rsid w:val="0005140E"/>
    <w:rsid w:val="00055396"/>
    <w:rsid w:val="00070B51"/>
    <w:rsid w:val="00076E1A"/>
    <w:rsid w:val="000952D6"/>
    <w:rsid w:val="000A0184"/>
    <w:rsid w:val="000A3A70"/>
    <w:rsid w:val="000B24C3"/>
    <w:rsid w:val="000C1D77"/>
    <w:rsid w:val="000D1BB1"/>
    <w:rsid w:val="000D390D"/>
    <w:rsid w:val="000D6984"/>
    <w:rsid w:val="000D74A3"/>
    <w:rsid w:val="000E0AB2"/>
    <w:rsid w:val="000E1126"/>
    <w:rsid w:val="000F6BB3"/>
    <w:rsid w:val="000F70A4"/>
    <w:rsid w:val="001006F4"/>
    <w:rsid w:val="0010374C"/>
    <w:rsid w:val="00104F21"/>
    <w:rsid w:val="0011269C"/>
    <w:rsid w:val="00112ACA"/>
    <w:rsid w:val="001144F3"/>
    <w:rsid w:val="00121A6F"/>
    <w:rsid w:val="00126A3F"/>
    <w:rsid w:val="00130BFA"/>
    <w:rsid w:val="0014210B"/>
    <w:rsid w:val="001505C9"/>
    <w:rsid w:val="00150914"/>
    <w:rsid w:val="001516DD"/>
    <w:rsid w:val="001567C5"/>
    <w:rsid w:val="00161F92"/>
    <w:rsid w:val="0016392D"/>
    <w:rsid w:val="0017006D"/>
    <w:rsid w:val="00171E57"/>
    <w:rsid w:val="001725D7"/>
    <w:rsid w:val="00172757"/>
    <w:rsid w:val="00177C4B"/>
    <w:rsid w:val="001813EE"/>
    <w:rsid w:val="00186DF5"/>
    <w:rsid w:val="001957B0"/>
    <w:rsid w:val="001A008F"/>
    <w:rsid w:val="001A4314"/>
    <w:rsid w:val="001B1265"/>
    <w:rsid w:val="001B550E"/>
    <w:rsid w:val="001C3C43"/>
    <w:rsid w:val="001C3D85"/>
    <w:rsid w:val="001D0578"/>
    <w:rsid w:val="001D6613"/>
    <w:rsid w:val="001D7EB2"/>
    <w:rsid w:val="001F1BBF"/>
    <w:rsid w:val="001F1FB2"/>
    <w:rsid w:val="001F21E4"/>
    <w:rsid w:val="001F7D7B"/>
    <w:rsid w:val="00213302"/>
    <w:rsid w:val="00232DCA"/>
    <w:rsid w:val="00234621"/>
    <w:rsid w:val="002379CC"/>
    <w:rsid w:val="00244B1F"/>
    <w:rsid w:val="002472BE"/>
    <w:rsid w:val="0025025B"/>
    <w:rsid w:val="00250F59"/>
    <w:rsid w:val="00261EAE"/>
    <w:rsid w:val="00262F21"/>
    <w:rsid w:val="0026706D"/>
    <w:rsid w:val="0026758B"/>
    <w:rsid w:val="002704CA"/>
    <w:rsid w:val="00272937"/>
    <w:rsid w:val="00275F0A"/>
    <w:rsid w:val="00282124"/>
    <w:rsid w:val="00286846"/>
    <w:rsid w:val="00287862"/>
    <w:rsid w:val="0029168C"/>
    <w:rsid w:val="002A3142"/>
    <w:rsid w:val="002A663B"/>
    <w:rsid w:val="002B1B7A"/>
    <w:rsid w:val="002B2A67"/>
    <w:rsid w:val="002B66E8"/>
    <w:rsid w:val="002C3576"/>
    <w:rsid w:val="002C4E39"/>
    <w:rsid w:val="002C788B"/>
    <w:rsid w:val="002D273A"/>
    <w:rsid w:val="002D59C8"/>
    <w:rsid w:val="002D7CCB"/>
    <w:rsid w:val="002F56C2"/>
    <w:rsid w:val="002F7773"/>
    <w:rsid w:val="003002DC"/>
    <w:rsid w:val="00304A1B"/>
    <w:rsid w:val="003104EA"/>
    <w:rsid w:val="00310E31"/>
    <w:rsid w:val="003118BD"/>
    <w:rsid w:val="003121BB"/>
    <w:rsid w:val="00313AF7"/>
    <w:rsid w:val="0031691F"/>
    <w:rsid w:val="00323115"/>
    <w:rsid w:val="00325076"/>
    <w:rsid w:val="00325132"/>
    <w:rsid w:val="003261C1"/>
    <w:rsid w:val="00331C6E"/>
    <w:rsid w:val="00334B76"/>
    <w:rsid w:val="00335048"/>
    <w:rsid w:val="00337EC2"/>
    <w:rsid w:val="003405FB"/>
    <w:rsid w:val="003407BC"/>
    <w:rsid w:val="00341340"/>
    <w:rsid w:val="00342CD6"/>
    <w:rsid w:val="00343FF6"/>
    <w:rsid w:val="00344A3B"/>
    <w:rsid w:val="00344C6A"/>
    <w:rsid w:val="00344C96"/>
    <w:rsid w:val="00352C9D"/>
    <w:rsid w:val="00355163"/>
    <w:rsid w:val="00361DE6"/>
    <w:rsid w:val="00372B67"/>
    <w:rsid w:val="0037420A"/>
    <w:rsid w:val="003750AE"/>
    <w:rsid w:val="00376861"/>
    <w:rsid w:val="0038170F"/>
    <w:rsid w:val="003860FB"/>
    <w:rsid w:val="0038735A"/>
    <w:rsid w:val="00387EE1"/>
    <w:rsid w:val="00390A86"/>
    <w:rsid w:val="003910B9"/>
    <w:rsid w:val="0039217E"/>
    <w:rsid w:val="003933E6"/>
    <w:rsid w:val="00397873"/>
    <w:rsid w:val="003A3AAE"/>
    <w:rsid w:val="003B1F46"/>
    <w:rsid w:val="003C196C"/>
    <w:rsid w:val="003C5143"/>
    <w:rsid w:val="003C77DC"/>
    <w:rsid w:val="003F4CCF"/>
    <w:rsid w:val="003F57FE"/>
    <w:rsid w:val="00402C8F"/>
    <w:rsid w:val="00411F44"/>
    <w:rsid w:val="00416A21"/>
    <w:rsid w:val="00422F57"/>
    <w:rsid w:val="00423914"/>
    <w:rsid w:val="00425EBC"/>
    <w:rsid w:val="00426504"/>
    <w:rsid w:val="00453A68"/>
    <w:rsid w:val="00454482"/>
    <w:rsid w:val="0046077D"/>
    <w:rsid w:val="004611D5"/>
    <w:rsid w:val="00463424"/>
    <w:rsid w:val="00463540"/>
    <w:rsid w:val="00471CE5"/>
    <w:rsid w:val="0047565B"/>
    <w:rsid w:val="00481303"/>
    <w:rsid w:val="004842CC"/>
    <w:rsid w:val="0048518B"/>
    <w:rsid w:val="00497779"/>
    <w:rsid w:val="004A31FB"/>
    <w:rsid w:val="004A3C88"/>
    <w:rsid w:val="004A441D"/>
    <w:rsid w:val="004A4496"/>
    <w:rsid w:val="004A6F3C"/>
    <w:rsid w:val="004B31B2"/>
    <w:rsid w:val="004B3299"/>
    <w:rsid w:val="004B61BD"/>
    <w:rsid w:val="004C4EBF"/>
    <w:rsid w:val="004C6BEE"/>
    <w:rsid w:val="004D03CA"/>
    <w:rsid w:val="004D0F52"/>
    <w:rsid w:val="004D1DBF"/>
    <w:rsid w:val="004D221E"/>
    <w:rsid w:val="004D2DA6"/>
    <w:rsid w:val="004D6945"/>
    <w:rsid w:val="004E05F3"/>
    <w:rsid w:val="004E1F28"/>
    <w:rsid w:val="004E2B3B"/>
    <w:rsid w:val="004E51BC"/>
    <w:rsid w:val="004E63E4"/>
    <w:rsid w:val="004E6959"/>
    <w:rsid w:val="004F40CD"/>
    <w:rsid w:val="004F46B0"/>
    <w:rsid w:val="005110D5"/>
    <w:rsid w:val="005152BE"/>
    <w:rsid w:val="00515C16"/>
    <w:rsid w:val="0051701F"/>
    <w:rsid w:val="00517296"/>
    <w:rsid w:val="00527FF5"/>
    <w:rsid w:val="00530A22"/>
    <w:rsid w:val="00533DC2"/>
    <w:rsid w:val="005345AF"/>
    <w:rsid w:val="00541E70"/>
    <w:rsid w:val="00543E0E"/>
    <w:rsid w:val="00555690"/>
    <w:rsid w:val="005573CE"/>
    <w:rsid w:val="00560709"/>
    <w:rsid w:val="00565476"/>
    <w:rsid w:val="00570EDB"/>
    <w:rsid w:val="005749CB"/>
    <w:rsid w:val="00575A91"/>
    <w:rsid w:val="00577828"/>
    <w:rsid w:val="0058219D"/>
    <w:rsid w:val="00583799"/>
    <w:rsid w:val="00585CFC"/>
    <w:rsid w:val="00587413"/>
    <w:rsid w:val="00587F2F"/>
    <w:rsid w:val="00590BBB"/>
    <w:rsid w:val="00591FA0"/>
    <w:rsid w:val="005A1FD5"/>
    <w:rsid w:val="005B20C7"/>
    <w:rsid w:val="005B37F0"/>
    <w:rsid w:val="005B52B2"/>
    <w:rsid w:val="005B6452"/>
    <w:rsid w:val="005C2838"/>
    <w:rsid w:val="005D36DD"/>
    <w:rsid w:val="005D36F8"/>
    <w:rsid w:val="005D3EC3"/>
    <w:rsid w:val="005D42D7"/>
    <w:rsid w:val="005D6258"/>
    <w:rsid w:val="005D6E25"/>
    <w:rsid w:val="005D7F27"/>
    <w:rsid w:val="005E5DC2"/>
    <w:rsid w:val="005F0892"/>
    <w:rsid w:val="005F3DA2"/>
    <w:rsid w:val="005F4A1C"/>
    <w:rsid w:val="00601B7E"/>
    <w:rsid w:val="006137CE"/>
    <w:rsid w:val="00613836"/>
    <w:rsid w:val="006272E4"/>
    <w:rsid w:val="00637585"/>
    <w:rsid w:val="00653717"/>
    <w:rsid w:val="00653FFD"/>
    <w:rsid w:val="006543F1"/>
    <w:rsid w:val="00654B91"/>
    <w:rsid w:val="00654F0C"/>
    <w:rsid w:val="00656A8B"/>
    <w:rsid w:val="00666D12"/>
    <w:rsid w:val="006724B1"/>
    <w:rsid w:val="00694570"/>
    <w:rsid w:val="006A044A"/>
    <w:rsid w:val="006A5726"/>
    <w:rsid w:val="006A661D"/>
    <w:rsid w:val="006A79AB"/>
    <w:rsid w:val="006B1882"/>
    <w:rsid w:val="006C019C"/>
    <w:rsid w:val="006C47EF"/>
    <w:rsid w:val="006D01D0"/>
    <w:rsid w:val="006D2B79"/>
    <w:rsid w:val="006D5D8D"/>
    <w:rsid w:val="006E36B1"/>
    <w:rsid w:val="006E4660"/>
    <w:rsid w:val="006E6374"/>
    <w:rsid w:val="006E6B9B"/>
    <w:rsid w:val="006F35E9"/>
    <w:rsid w:val="00705907"/>
    <w:rsid w:val="00705EFD"/>
    <w:rsid w:val="00706B76"/>
    <w:rsid w:val="00707229"/>
    <w:rsid w:val="0071676E"/>
    <w:rsid w:val="00717D08"/>
    <w:rsid w:val="00720FF1"/>
    <w:rsid w:val="00732C4A"/>
    <w:rsid w:val="00756C4A"/>
    <w:rsid w:val="00757BB9"/>
    <w:rsid w:val="00761DEC"/>
    <w:rsid w:val="0076291C"/>
    <w:rsid w:val="00762D19"/>
    <w:rsid w:val="00765B70"/>
    <w:rsid w:val="00770391"/>
    <w:rsid w:val="007713A1"/>
    <w:rsid w:val="00772BFD"/>
    <w:rsid w:val="0077420D"/>
    <w:rsid w:val="007756C6"/>
    <w:rsid w:val="00780CBD"/>
    <w:rsid w:val="00783C7C"/>
    <w:rsid w:val="0079796F"/>
    <w:rsid w:val="007A2839"/>
    <w:rsid w:val="007B6036"/>
    <w:rsid w:val="007B6D99"/>
    <w:rsid w:val="007C390D"/>
    <w:rsid w:val="007C679A"/>
    <w:rsid w:val="007C7F1D"/>
    <w:rsid w:val="007D07CD"/>
    <w:rsid w:val="007D2933"/>
    <w:rsid w:val="007D3267"/>
    <w:rsid w:val="007D6956"/>
    <w:rsid w:val="007E0A42"/>
    <w:rsid w:val="007E0F4E"/>
    <w:rsid w:val="007E72E4"/>
    <w:rsid w:val="007F6331"/>
    <w:rsid w:val="007F6E68"/>
    <w:rsid w:val="00834EE7"/>
    <w:rsid w:val="00836F9B"/>
    <w:rsid w:val="00840480"/>
    <w:rsid w:val="00840EDD"/>
    <w:rsid w:val="00842122"/>
    <w:rsid w:val="00857B50"/>
    <w:rsid w:val="008626DD"/>
    <w:rsid w:val="0087187A"/>
    <w:rsid w:val="0087570D"/>
    <w:rsid w:val="00894CD8"/>
    <w:rsid w:val="00897E26"/>
    <w:rsid w:val="008A5A68"/>
    <w:rsid w:val="008B7959"/>
    <w:rsid w:val="008B7E25"/>
    <w:rsid w:val="008C3BCC"/>
    <w:rsid w:val="008D1543"/>
    <w:rsid w:val="008D3810"/>
    <w:rsid w:val="008D574E"/>
    <w:rsid w:val="008D6A78"/>
    <w:rsid w:val="008E3212"/>
    <w:rsid w:val="008E54AA"/>
    <w:rsid w:val="008E5E88"/>
    <w:rsid w:val="008E7619"/>
    <w:rsid w:val="008F12A9"/>
    <w:rsid w:val="008F54B7"/>
    <w:rsid w:val="008F63E5"/>
    <w:rsid w:val="0091074C"/>
    <w:rsid w:val="009115A7"/>
    <w:rsid w:val="0092185B"/>
    <w:rsid w:val="009235B4"/>
    <w:rsid w:val="009277B8"/>
    <w:rsid w:val="00932DC4"/>
    <w:rsid w:val="009434D3"/>
    <w:rsid w:val="0095181B"/>
    <w:rsid w:val="00951839"/>
    <w:rsid w:val="009569DE"/>
    <w:rsid w:val="00957FB6"/>
    <w:rsid w:val="00957FCD"/>
    <w:rsid w:val="009615A2"/>
    <w:rsid w:val="00971EF0"/>
    <w:rsid w:val="00973673"/>
    <w:rsid w:val="00974119"/>
    <w:rsid w:val="00986F28"/>
    <w:rsid w:val="00996E22"/>
    <w:rsid w:val="00997613"/>
    <w:rsid w:val="009B449A"/>
    <w:rsid w:val="009B6A77"/>
    <w:rsid w:val="009C1A4C"/>
    <w:rsid w:val="009C4695"/>
    <w:rsid w:val="009C5BD0"/>
    <w:rsid w:val="009D3021"/>
    <w:rsid w:val="009D4A28"/>
    <w:rsid w:val="009D77AD"/>
    <w:rsid w:val="009E510B"/>
    <w:rsid w:val="009E610C"/>
    <w:rsid w:val="009E7ADC"/>
    <w:rsid w:val="009F110E"/>
    <w:rsid w:val="009F36E2"/>
    <w:rsid w:val="009F51E6"/>
    <w:rsid w:val="009F559C"/>
    <w:rsid w:val="00A06C89"/>
    <w:rsid w:val="00A06CE4"/>
    <w:rsid w:val="00A1095E"/>
    <w:rsid w:val="00A116AF"/>
    <w:rsid w:val="00A14520"/>
    <w:rsid w:val="00A20E69"/>
    <w:rsid w:val="00A2134C"/>
    <w:rsid w:val="00A35031"/>
    <w:rsid w:val="00A35319"/>
    <w:rsid w:val="00A35ABC"/>
    <w:rsid w:val="00A418A0"/>
    <w:rsid w:val="00A420EA"/>
    <w:rsid w:val="00A455D1"/>
    <w:rsid w:val="00A535B3"/>
    <w:rsid w:val="00A53E1E"/>
    <w:rsid w:val="00A56C91"/>
    <w:rsid w:val="00A5792F"/>
    <w:rsid w:val="00A6415A"/>
    <w:rsid w:val="00A6703E"/>
    <w:rsid w:val="00A73891"/>
    <w:rsid w:val="00A76C6D"/>
    <w:rsid w:val="00A809D7"/>
    <w:rsid w:val="00A91D30"/>
    <w:rsid w:val="00A92377"/>
    <w:rsid w:val="00AA01D2"/>
    <w:rsid w:val="00AA1C0E"/>
    <w:rsid w:val="00AA61ED"/>
    <w:rsid w:val="00AB7653"/>
    <w:rsid w:val="00AC2359"/>
    <w:rsid w:val="00AD4ED7"/>
    <w:rsid w:val="00AE0D85"/>
    <w:rsid w:val="00AE2BF2"/>
    <w:rsid w:val="00AF1508"/>
    <w:rsid w:val="00AF2075"/>
    <w:rsid w:val="00B00E3F"/>
    <w:rsid w:val="00B010D9"/>
    <w:rsid w:val="00B11447"/>
    <w:rsid w:val="00B1375C"/>
    <w:rsid w:val="00B15BEC"/>
    <w:rsid w:val="00B1711E"/>
    <w:rsid w:val="00B20A62"/>
    <w:rsid w:val="00B24E8C"/>
    <w:rsid w:val="00B262DA"/>
    <w:rsid w:val="00B30CB2"/>
    <w:rsid w:val="00B40E14"/>
    <w:rsid w:val="00B4261F"/>
    <w:rsid w:val="00B458DD"/>
    <w:rsid w:val="00B46966"/>
    <w:rsid w:val="00B474B0"/>
    <w:rsid w:val="00B55966"/>
    <w:rsid w:val="00B6009C"/>
    <w:rsid w:val="00B6351D"/>
    <w:rsid w:val="00B6416A"/>
    <w:rsid w:val="00B66F2C"/>
    <w:rsid w:val="00B7190D"/>
    <w:rsid w:val="00B838AD"/>
    <w:rsid w:val="00B86608"/>
    <w:rsid w:val="00B869B7"/>
    <w:rsid w:val="00B876EB"/>
    <w:rsid w:val="00B87D25"/>
    <w:rsid w:val="00BA04BF"/>
    <w:rsid w:val="00BA404F"/>
    <w:rsid w:val="00BA6EF4"/>
    <w:rsid w:val="00BB0E41"/>
    <w:rsid w:val="00BB38FB"/>
    <w:rsid w:val="00BB397C"/>
    <w:rsid w:val="00BC0807"/>
    <w:rsid w:val="00BC1442"/>
    <w:rsid w:val="00BC4919"/>
    <w:rsid w:val="00BD1250"/>
    <w:rsid w:val="00BD1A2F"/>
    <w:rsid w:val="00BF0151"/>
    <w:rsid w:val="00BF09D5"/>
    <w:rsid w:val="00BF2822"/>
    <w:rsid w:val="00BF2F28"/>
    <w:rsid w:val="00BF5B9E"/>
    <w:rsid w:val="00C00A4D"/>
    <w:rsid w:val="00C0653D"/>
    <w:rsid w:val="00C06D24"/>
    <w:rsid w:val="00C14BAA"/>
    <w:rsid w:val="00C17350"/>
    <w:rsid w:val="00C20122"/>
    <w:rsid w:val="00C21452"/>
    <w:rsid w:val="00C2769E"/>
    <w:rsid w:val="00C35110"/>
    <w:rsid w:val="00C35525"/>
    <w:rsid w:val="00C402AE"/>
    <w:rsid w:val="00C4127C"/>
    <w:rsid w:val="00C4255B"/>
    <w:rsid w:val="00C43769"/>
    <w:rsid w:val="00C44D34"/>
    <w:rsid w:val="00C456D1"/>
    <w:rsid w:val="00C52EB0"/>
    <w:rsid w:val="00C54186"/>
    <w:rsid w:val="00C6461A"/>
    <w:rsid w:val="00C67A21"/>
    <w:rsid w:val="00C73947"/>
    <w:rsid w:val="00C74B88"/>
    <w:rsid w:val="00C81CB0"/>
    <w:rsid w:val="00C903B8"/>
    <w:rsid w:val="00C91301"/>
    <w:rsid w:val="00C91C2F"/>
    <w:rsid w:val="00C97EC4"/>
    <w:rsid w:val="00CA1032"/>
    <w:rsid w:val="00CA1721"/>
    <w:rsid w:val="00CA1ECD"/>
    <w:rsid w:val="00CA3D20"/>
    <w:rsid w:val="00CA57AD"/>
    <w:rsid w:val="00CB2FA6"/>
    <w:rsid w:val="00CB4039"/>
    <w:rsid w:val="00CC0402"/>
    <w:rsid w:val="00CC3161"/>
    <w:rsid w:val="00CC7367"/>
    <w:rsid w:val="00CD03E7"/>
    <w:rsid w:val="00CD22D6"/>
    <w:rsid w:val="00CD35E0"/>
    <w:rsid w:val="00CD5211"/>
    <w:rsid w:val="00CD6C7D"/>
    <w:rsid w:val="00CE2270"/>
    <w:rsid w:val="00CE5340"/>
    <w:rsid w:val="00CE7ED2"/>
    <w:rsid w:val="00D03BF1"/>
    <w:rsid w:val="00D103D8"/>
    <w:rsid w:val="00D154F8"/>
    <w:rsid w:val="00D26A48"/>
    <w:rsid w:val="00D3589B"/>
    <w:rsid w:val="00D46FD8"/>
    <w:rsid w:val="00D50254"/>
    <w:rsid w:val="00D51354"/>
    <w:rsid w:val="00D53C3F"/>
    <w:rsid w:val="00D61B31"/>
    <w:rsid w:val="00D64064"/>
    <w:rsid w:val="00D7176E"/>
    <w:rsid w:val="00D73262"/>
    <w:rsid w:val="00D73A0A"/>
    <w:rsid w:val="00D84824"/>
    <w:rsid w:val="00D94580"/>
    <w:rsid w:val="00DA01EB"/>
    <w:rsid w:val="00DA0A10"/>
    <w:rsid w:val="00DA2074"/>
    <w:rsid w:val="00DA49AB"/>
    <w:rsid w:val="00DA646A"/>
    <w:rsid w:val="00DA6FD3"/>
    <w:rsid w:val="00DB1CA6"/>
    <w:rsid w:val="00DB6577"/>
    <w:rsid w:val="00DB7EC0"/>
    <w:rsid w:val="00DC2AE0"/>
    <w:rsid w:val="00DC4D86"/>
    <w:rsid w:val="00DF0050"/>
    <w:rsid w:val="00DF0D5A"/>
    <w:rsid w:val="00DF3D55"/>
    <w:rsid w:val="00E03ECB"/>
    <w:rsid w:val="00E048A5"/>
    <w:rsid w:val="00E066FC"/>
    <w:rsid w:val="00E10CD5"/>
    <w:rsid w:val="00E13573"/>
    <w:rsid w:val="00E2013C"/>
    <w:rsid w:val="00E20F0F"/>
    <w:rsid w:val="00E270C8"/>
    <w:rsid w:val="00E31D00"/>
    <w:rsid w:val="00E3448B"/>
    <w:rsid w:val="00E403AA"/>
    <w:rsid w:val="00E668C8"/>
    <w:rsid w:val="00E72B05"/>
    <w:rsid w:val="00E72E1F"/>
    <w:rsid w:val="00E76C5C"/>
    <w:rsid w:val="00E77A98"/>
    <w:rsid w:val="00ED183A"/>
    <w:rsid w:val="00ED3082"/>
    <w:rsid w:val="00ED63F7"/>
    <w:rsid w:val="00ED6707"/>
    <w:rsid w:val="00ED7E1E"/>
    <w:rsid w:val="00EF039B"/>
    <w:rsid w:val="00EF268C"/>
    <w:rsid w:val="00EF38AD"/>
    <w:rsid w:val="00EF4CA0"/>
    <w:rsid w:val="00F009B4"/>
    <w:rsid w:val="00F02C4C"/>
    <w:rsid w:val="00F11A72"/>
    <w:rsid w:val="00F14115"/>
    <w:rsid w:val="00F15EB7"/>
    <w:rsid w:val="00F2468B"/>
    <w:rsid w:val="00F306DD"/>
    <w:rsid w:val="00F33706"/>
    <w:rsid w:val="00F33A54"/>
    <w:rsid w:val="00F351D3"/>
    <w:rsid w:val="00F50D0A"/>
    <w:rsid w:val="00F521BF"/>
    <w:rsid w:val="00F56027"/>
    <w:rsid w:val="00F56773"/>
    <w:rsid w:val="00F56F28"/>
    <w:rsid w:val="00F61C53"/>
    <w:rsid w:val="00F6214A"/>
    <w:rsid w:val="00F62978"/>
    <w:rsid w:val="00F639BA"/>
    <w:rsid w:val="00F63CCE"/>
    <w:rsid w:val="00F660FA"/>
    <w:rsid w:val="00F71738"/>
    <w:rsid w:val="00F75E77"/>
    <w:rsid w:val="00F77CD0"/>
    <w:rsid w:val="00F86C8D"/>
    <w:rsid w:val="00F87364"/>
    <w:rsid w:val="00F87845"/>
    <w:rsid w:val="00F87A5B"/>
    <w:rsid w:val="00F92339"/>
    <w:rsid w:val="00F963C3"/>
    <w:rsid w:val="00FA096E"/>
    <w:rsid w:val="00FA2EFC"/>
    <w:rsid w:val="00FA30E6"/>
    <w:rsid w:val="00FC150C"/>
    <w:rsid w:val="00FC39CB"/>
    <w:rsid w:val="00FC5D8A"/>
    <w:rsid w:val="00FC5E68"/>
    <w:rsid w:val="00FC6048"/>
    <w:rsid w:val="00FD03D1"/>
    <w:rsid w:val="00FD3A3A"/>
    <w:rsid w:val="00FD4FD5"/>
    <w:rsid w:val="00FD7B26"/>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685E9A04"/>
  <w15:docId w15:val="{EDD9AB46-A177-4734-9E6D-CE807F88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FD3"/>
    <w:pPr>
      <w:spacing w:line="240" w:lineRule="atLeast"/>
    </w:pPr>
    <w:rPr>
      <w:rFonts w:ascii="Arial" w:hAnsi="Arial"/>
      <w:lang w:val="en-GB"/>
    </w:rPr>
  </w:style>
  <w:style w:type="paragraph" w:styleId="Heading1">
    <w:name w:val="heading 1"/>
    <w:basedOn w:val="Normal"/>
    <w:next w:val="Normal"/>
    <w:link w:val="Heading1Char"/>
    <w:qFormat/>
    <w:pPr>
      <w:ind w:left="567" w:hanging="567"/>
      <w:jc w:val="both"/>
      <w:outlineLvl w:val="0"/>
    </w:pPr>
    <w:rPr>
      <w:b/>
      <w:bCs/>
    </w:rPr>
  </w:style>
  <w:style w:type="paragraph" w:styleId="Heading2">
    <w:name w:val="heading 2"/>
    <w:basedOn w:val="Normal"/>
    <w:next w:val="Normal"/>
    <w:link w:val="Heading2Char"/>
    <w:qFormat/>
    <w:pPr>
      <w:ind w:left="567" w:hanging="567"/>
      <w:jc w:val="both"/>
      <w:outlineLvl w:val="1"/>
    </w:pPr>
    <w:rPr>
      <w:i/>
      <w:iCs/>
    </w:rPr>
  </w:style>
  <w:style w:type="paragraph" w:styleId="Heading3">
    <w:name w:val="heading 3"/>
    <w:basedOn w:val="Normal"/>
    <w:next w:val="Normal"/>
    <w:qFormat/>
    <w:pPr>
      <w:tabs>
        <w:tab w:val="left" w:pos="567"/>
      </w:tabs>
      <w:jc w:val="both"/>
      <w:outlineLvl w:val="2"/>
    </w:pPr>
  </w:style>
  <w:style w:type="paragraph" w:styleId="Heading4">
    <w:name w:val="heading 4"/>
    <w:basedOn w:val="Normal"/>
    <w:next w:val="Normal"/>
    <w:qFormat/>
    <w:rsid w:val="008D3810"/>
    <w:pPr>
      <w:outlineLvl w:val="3"/>
    </w:pPr>
    <w:rPr>
      <w:rFonts w:cs="Arial"/>
      <w:b/>
      <w:bCs/>
    </w:rPr>
  </w:style>
  <w:style w:type="paragraph" w:styleId="Heading5">
    <w:name w:val="heading 5"/>
    <w:basedOn w:val="Normal"/>
    <w:next w:val="Normal"/>
    <w:link w:val="Heading5Char"/>
    <w:unhideWhenUsed/>
    <w:qFormat/>
    <w:rsid w:val="0079796F"/>
    <w:pPr>
      <w:tabs>
        <w:tab w:val="num" w:pos="0"/>
      </w:tabs>
      <w:spacing w:before="240" w:after="60" w:line="240" w:lineRule="auto"/>
      <w:outlineLvl w:val="4"/>
    </w:pPr>
    <w:rPr>
      <w:rFonts w:cs="Arial"/>
      <w:sz w:val="22"/>
      <w:szCs w:val="22"/>
      <w:lang w:val="en-US" w:eastAsia="en-US"/>
    </w:rPr>
  </w:style>
  <w:style w:type="paragraph" w:styleId="Heading6">
    <w:name w:val="heading 6"/>
    <w:basedOn w:val="Normal"/>
    <w:next w:val="Normal"/>
    <w:link w:val="Heading6Char"/>
    <w:unhideWhenUsed/>
    <w:qFormat/>
    <w:rsid w:val="0079796F"/>
    <w:pPr>
      <w:tabs>
        <w:tab w:val="num" w:pos="0"/>
      </w:tabs>
      <w:spacing w:before="240" w:after="60" w:line="240" w:lineRule="auto"/>
      <w:outlineLvl w:val="5"/>
    </w:pPr>
    <w:rPr>
      <w:rFonts w:cs="Arial"/>
      <w:i/>
      <w:iCs/>
      <w:sz w:val="22"/>
      <w:szCs w:val="22"/>
      <w:lang w:val="en-US" w:eastAsia="en-US"/>
    </w:rPr>
  </w:style>
  <w:style w:type="paragraph" w:styleId="Heading7">
    <w:name w:val="heading 7"/>
    <w:basedOn w:val="Normal"/>
    <w:next w:val="Normal"/>
    <w:link w:val="Heading7Char"/>
    <w:unhideWhenUsed/>
    <w:qFormat/>
    <w:rsid w:val="0079796F"/>
    <w:pPr>
      <w:tabs>
        <w:tab w:val="num" w:pos="0"/>
      </w:tabs>
      <w:spacing w:before="240" w:after="60" w:line="240" w:lineRule="auto"/>
      <w:outlineLvl w:val="6"/>
    </w:pPr>
    <w:rPr>
      <w:rFonts w:cs="Arial"/>
      <w:lang w:val="en-US" w:eastAsia="en-US"/>
    </w:rPr>
  </w:style>
  <w:style w:type="paragraph" w:styleId="Heading8">
    <w:name w:val="heading 8"/>
    <w:basedOn w:val="Normal"/>
    <w:next w:val="Normal"/>
    <w:link w:val="Heading8Char"/>
    <w:unhideWhenUsed/>
    <w:qFormat/>
    <w:rsid w:val="0079796F"/>
    <w:pPr>
      <w:tabs>
        <w:tab w:val="num" w:pos="0"/>
      </w:tabs>
      <w:spacing w:before="240" w:after="60" w:line="240" w:lineRule="auto"/>
      <w:outlineLvl w:val="7"/>
    </w:pPr>
    <w:rPr>
      <w:rFonts w:cs="Arial"/>
      <w:i/>
      <w:iCs/>
      <w:lang w:val="en-US" w:eastAsia="en-US"/>
    </w:rPr>
  </w:style>
  <w:style w:type="paragraph" w:styleId="Heading9">
    <w:name w:val="heading 9"/>
    <w:basedOn w:val="Normal"/>
    <w:next w:val="Normal"/>
    <w:link w:val="Heading9Char"/>
    <w:unhideWhenUsed/>
    <w:qFormat/>
    <w:rsid w:val="0079796F"/>
    <w:pPr>
      <w:tabs>
        <w:tab w:val="num" w:pos="0"/>
      </w:tabs>
      <w:spacing w:before="240" w:after="60" w:line="240" w:lineRule="auto"/>
      <w:outlineLvl w:val="8"/>
    </w:pPr>
    <w:rPr>
      <w:rFonts w:cs="Arial"/>
      <w:i/>
      <w:iCs/>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20"/>
      <w:szCs w:val="20"/>
      <w:vertAlign w:val="superscript"/>
    </w:rPr>
  </w:style>
  <w:style w:type="paragraph" w:customStyle="1" w:styleId="0Textedebase">
    <w:name w:val="0 Texte de base"/>
    <w:basedOn w:val="Normal"/>
    <w:link w:val="0TextedebaseChar"/>
    <w:rsid w:val="00234621"/>
    <w:pPr>
      <w:jc w:val="both"/>
    </w:pPr>
  </w:style>
  <w:style w:type="paragraph" w:customStyle="1" w:styleId="1Premierretrait">
    <w:name w:val="1 Premier retrait"/>
    <w:basedOn w:val="0Textedebase"/>
    <w:rsid w:val="00234621"/>
    <w:pPr>
      <w:numPr>
        <w:numId w:val="2"/>
      </w:numPr>
      <w:spacing w:before="120"/>
    </w:pPr>
  </w:style>
  <w:style w:type="paragraph" w:customStyle="1" w:styleId="2Deuximeretrait">
    <w:name w:val="2 Deuxième retrait"/>
    <w:basedOn w:val="0Textedebase"/>
    <w:rsid w:val="00234621"/>
    <w:pPr>
      <w:numPr>
        <w:numId w:val="3"/>
      </w:numPr>
      <w:spacing w:before="120"/>
    </w:pPr>
  </w:style>
  <w:style w:type="paragraph" w:customStyle="1" w:styleId="3Troisimeretrait">
    <w:name w:val="3 Troisième retrait"/>
    <w:basedOn w:val="0Textedebase"/>
    <w:rsid w:val="00234621"/>
    <w:pPr>
      <w:numPr>
        <w:numId w:val="4"/>
      </w:numPr>
      <w:spacing w:before="120"/>
    </w:pPr>
  </w:style>
  <w:style w:type="paragraph" w:styleId="FootnoteText">
    <w:name w:val="footnote text"/>
    <w:basedOn w:val="Normal"/>
    <w:link w:val="FootnoteTextChar"/>
    <w:semiHidden/>
    <w:rsid w:val="00ED6707"/>
    <w:pPr>
      <w:spacing w:line="240" w:lineRule="auto"/>
      <w:jc w:val="both"/>
    </w:pPr>
    <w:rPr>
      <w:sz w:val="18"/>
      <w:szCs w:val="18"/>
    </w:rPr>
  </w:style>
  <w:style w:type="paragraph" w:styleId="Footer">
    <w:name w:val="footer"/>
    <w:basedOn w:val="Normal"/>
    <w:rsid w:val="009F110E"/>
    <w:pPr>
      <w:tabs>
        <w:tab w:val="center" w:pos="4536"/>
        <w:tab w:val="right" w:pos="9072"/>
      </w:tabs>
    </w:pPr>
  </w:style>
  <w:style w:type="paragraph" w:styleId="Header">
    <w:name w:val="header"/>
    <w:basedOn w:val="Normal"/>
    <w:pPr>
      <w:tabs>
        <w:tab w:val="center" w:pos="4536"/>
        <w:tab w:val="right" w:pos="9072"/>
      </w:tabs>
    </w:pPr>
  </w:style>
  <w:style w:type="paragraph" w:styleId="EndnoteText">
    <w:name w:val="endnote text"/>
    <w:basedOn w:val="Normal"/>
    <w:semiHidden/>
    <w:pPr>
      <w:spacing w:line="240" w:lineRule="auto"/>
      <w:ind w:left="284" w:hanging="284"/>
      <w:jc w:val="both"/>
    </w:pPr>
    <w:rPr>
      <w:sz w:val="18"/>
      <w:szCs w:val="18"/>
    </w:rPr>
  </w:style>
  <w:style w:type="character" w:styleId="EndnoteReference">
    <w:name w:val="endnote reference"/>
    <w:semiHidden/>
    <w:rPr>
      <w:sz w:val="20"/>
      <w:szCs w:val="20"/>
      <w:vertAlign w:val="superscript"/>
    </w:rPr>
  </w:style>
  <w:style w:type="paragraph" w:customStyle="1" w:styleId="1aPremierretraittable">
    <w:name w:val="1a Premier retrait table"/>
    <w:basedOn w:val="1Premierretrait"/>
    <w:qFormat/>
    <w:rsid w:val="001C3C43"/>
    <w:pPr>
      <w:tabs>
        <w:tab w:val="clear" w:pos="567"/>
        <w:tab w:val="num" w:pos="284"/>
      </w:tabs>
      <w:spacing w:before="60" w:after="60"/>
      <w:ind w:left="284" w:hanging="284"/>
    </w:pPr>
  </w:style>
  <w:style w:type="paragraph" w:styleId="BalloonText">
    <w:name w:val="Balloon Text"/>
    <w:basedOn w:val="Normal"/>
    <w:semiHidden/>
    <w:rsid w:val="00A5792F"/>
    <w:rPr>
      <w:rFonts w:ascii="Tahoma" w:hAnsi="Tahoma" w:cs="Tahoma"/>
      <w:sz w:val="16"/>
      <w:szCs w:val="16"/>
    </w:rPr>
  </w:style>
  <w:style w:type="paragraph" w:customStyle="1" w:styleId="Barredanslamarge">
    <w:name w:val="Barre dans la marge"/>
    <w:basedOn w:val="Normal"/>
    <w:rsid w:val="00F14115"/>
    <w:pPr>
      <w:autoSpaceDE w:val="0"/>
      <w:autoSpaceDN w:val="0"/>
      <w:adjustRightInd w:val="0"/>
      <w:jc w:val="both"/>
    </w:pPr>
    <w:rPr>
      <w:rFonts w:cs="Arial"/>
    </w:rPr>
  </w:style>
  <w:style w:type="paragraph" w:customStyle="1" w:styleId="2aDeuxiemeretraittable">
    <w:name w:val="2a Deuxieme retrait table"/>
    <w:basedOn w:val="2Deuximeretrait"/>
    <w:qFormat/>
    <w:rsid w:val="001C3C43"/>
    <w:pPr>
      <w:tabs>
        <w:tab w:val="clear" w:pos="1134"/>
        <w:tab w:val="num" w:pos="567"/>
      </w:tabs>
      <w:spacing w:before="60" w:after="60"/>
      <w:ind w:left="568" w:hanging="284"/>
    </w:pPr>
  </w:style>
  <w:style w:type="paragraph" w:customStyle="1" w:styleId="3aTroisiemeretraittable">
    <w:name w:val="3a Troisieme retrait table"/>
    <w:basedOn w:val="3Troisimeretrait"/>
    <w:qFormat/>
    <w:rsid w:val="001C3C43"/>
    <w:pPr>
      <w:tabs>
        <w:tab w:val="clear" w:pos="1701"/>
        <w:tab w:val="num" w:pos="851"/>
      </w:tabs>
      <w:spacing w:before="60" w:after="60"/>
      <w:ind w:left="851" w:hanging="284"/>
    </w:pPr>
  </w:style>
  <w:style w:type="character" w:customStyle="1" w:styleId="Heading5Char">
    <w:name w:val="Heading 5 Char"/>
    <w:basedOn w:val="DefaultParagraphFont"/>
    <w:link w:val="Heading5"/>
    <w:rsid w:val="0079796F"/>
    <w:rPr>
      <w:rFonts w:ascii="Arial" w:hAnsi="Arial" w:cs="Arial"/>
      <w:sz w:val="22"/>
      <w:szCs w:val="22"/>
      <w:lang w:val="en-US" w:eastAsia="en-US"/>
    </w:rPr>
  </w:style>
  <w:style w:type="character" w:customStyle="1" w:styleId="Heading6Char">
    <w:name w:val="Heading 6 Char"/>
    <w:basedOn w:val="DefaultParagraphFont"/>
    <w:link w:val="Heading6"/>
    <w:rsid w:val="0079796F"/>
    <w:rPr>
      <w:rFonts w:ascii="Arial" w:hAnsi="Arial" w:cs="Arial"/>
      <w:i/>
      <w:iCs/>
      <w:sz w:val="22"/>
      <w:szCs w:val="22"/>
      <w:lang w:val="en-US" w:eastAsia="en-US"/>
    </w:rPr>
  </w:style>
  <w:style w:type="character" w:customStyle="1" w:styleId="Heading7Char">
    <w:name w:val="Heading 7 Char"/>
    <w:basedOn w:val="DefaultParagraphFont"/>
    <w:link w:val="Heading7"/>
    <w:rsid w:val="0079796F"/>
    <w:rPr>
      <w:rFonts w:ascii="Arial" w:hAnsi="Arial" w:cs="Arial"/>
      <w:lang w:val="en-US" w:eastAsia="en-US"/>
    </w:rPr>
  </w:style>
  <w:style w:type="character" w:customStyle="1" w:styleId="Heading8Char">
    <w:name w:val="Heading 8 Char"/>
    <w:basedOn w:val="DefaultParagraphFont"/>
    <w:link w:val="Heading8"/>
    <w:rsid w:val="0079796F"/>
    <w:rPr>
      <w:rFonts w:ascii="Arial" w:hAnsi="Arial" w:cs="Arial"/>
      <w:i/>
      <w:iCs/>
      <w:lang w:val="en-US" w:eastAsia="en-US"/>
    </w:rPr>
  </w:style>
  <w:style w:type="character" w:customStyle="1" w:styleId="Heading9Char">
    <w:name w:val="Heading 9 Char"/>
    <w:basedOn w:val="DefaultParagraphFont"/>
    <w:link w:val="Heading9"/>
    <w:rsid w:val="0079796F"/>
    <w:rPr>
      <w:rFonts w:ascii="Arial" w:hAnsi="Arial" w:cs="Arial"/>
      <w:i/>
      <w:iCs/>
      <w:sz w:val="18"/>
      <w:szCs w:val="18"/>
      <w:lang w:val="en-US" w:eastAsia="en-US"/>
    </w:rPr>
  </w:style>
  <w:style w:type="paragraph" w:customStyle="1" w:styleId="Datesignature">
    <w:name w:val="Date+signature"/>
    <w:basedOn w:val="Normal"/>
    <w:rsid w:val="0079796F"/>
    <w:pPr>
      <w:tabs>
        <w:tab w:val="left" w:pos="5500"/>
      </w:tabs>
      <w:spacing w:line="240" w:lineRule="auto"/>
    </w:pPr>
    <w:rPr>
      <w:rFonts w:cs="Arial"/>
      <w:noProof/>
      <w:sz w:val="22"/>
      <w:szCs w:val="22"/>
      <w:lang w:val="en-US" w:eastAsia="en-US"/>
    </w:rPr>
  </w:style>
  <w:style w:type="paragraph" w:styleId="TOC9">
    <w:name w:val="toc 9"/>
    <w:basedOn w:val="Normal"/>
    <w:next w:val="Normal"/>
    <w:autoRedefine/>
    <w:semiHidden/>
    <w:rsid w:val="0079796F"/>
    <w:pPr>
      <w:tabs>
        <w:tab w:val="left" w:pos="1620"/>
      </w:tabs>
      <w:autoSpaceDE w:val="0"/>
      <w:autoSpaceDN w:val="0"/>
      <w:adjustRightInd w:val="0"/>
      <w:spacing w:line="240" w:lineRule="auto"/>
      <w:jc w:val="both"/>
    </w:pPr>
    <w:rPr>
      <w:rFonts w:cs="Arial"/>
      <w:sz w:val="22"/>
      <w:szCs w:val="22"/>
      <w:lang w:val="en-US" w:eastAsia="en-US"/>
    </w:rPr>
  </w:style>
  <w:style w:type="paragraph" w:customStyle="1" w:styleId="1aPremierretraitfortables">
    <w:name w:val="1a Premier retrait for tables"/>
    <w:basedOn w:val="1Premierretrait"/>
    <w:qFormat/>
    <w:rsid w:val="0079796F"/>
    <w:pPr>
      <w:tabs>
        <w:tab w:val="clear" w:pos="567"/>
        <w:tab w:val="left" w:pos="284"/>
      </w:tabs>
      <w:spacing w:before="60" w:after="60" w:line="240" w:lineRule="auto"/>
      <w:ind w:left="284" w:hanging="284"/>
    </w:pPr>
    <w:rPr>
      <w:rFonts w:eastAsia="SimSun" w:cs="Mangal"/>
      <w:snapToGrid w:val="0"/>
      <w:sz w:val="22"/>
      <w:szCs w:val="22"/>
      <w:lang w:val="fr-CH" w:eastAsia="zh-CN"/>
    </w:rPr>
  </w:style>
  <w:style w:type="paragraph" w:customStyle="1" w:styleId="2aDeuxiemeretraitfortables">
    <w:name w:val="2a Deuxieme retrait for tables"/>
    <w:basedOn w:val="2Deuximeretrait"/>
    <w:qFormat/>
    <w:rsid w:val="0079796F"/>
    <w:pPr>
      <w:numPr>
        <w:numId w:val="1"/>
      </w:numPr>
      <w:tabs>
        <w:tab w:val="left" w:pos="567"/>
      </w:tabs>
      <w:spacing w:before="60" w:after="60" w:line="240" w:lineRule="auto"/>
      <w:ind w:left="568" w:hanging="284"/>
    </w:pPr>
    <w:rPr>
      <w:rFonts w:eastAsia="SimSun" w:cs="Mangal"/>
      <w:snapToGrid w:val="0"/>
      <w:sz w:val="22"/>
      <w:szCs w:val="22"/>
      <w:lang w:val="fr-CH" w:eastAsia="zh-CN"/>
    </w:rPr>
  </w:style>
  <w:style w:type="paragraph" w:customStyle="1" w:styleId="3aTroisiemeretraitfortables">
    <w:name w:val="3a Troisieme retrait for tables"/>
    <w:basedOn w:val="3Troisimeretrait"/>
    <w:qFormat/>
    <w:rsid w:val="0079796F"/>
    <w:pPr>
      <w:tabs>
        <w:tab w:val="clear" w:pos="1701"/>
        <w:tab w:val="left" w:pos="851"/>
      </w:tabs>
      <w:spacing w:before="60" w:after="60" w:line="240" w:lineRule="auto"/>
      <w:ind w:left="1135" w:hanging="284"/>
    </w:pPr>
    <w:rPr>
      <w:rFonts w:eastAsia="SimSun" w:cs="Mangal"/>
      <w:snapToGrid w:val="0"/>
      <w:sz w:val="22"/>
      <w:szCs w:val="24"/>
      <w:lang w:val="fr-CH" w:eastAsia="zh-CN"/>
    </w:rPr>
  </w:style>
  <w:style w:type="character" w:customStyle="1" w:styleId="Heading1Char">
    <w:name w:val="Heading 1 Char"/>
    <w:basedOn w:val="DefaultParagraphFont"/>
    <w:link w:val="Heading1"/>
    <w:rsid w:val="0079796F"/>
    <w:rPr>
      <w:rFonts w:ascii="Arial" w:hAnsi="Arial"/>
      <w:b/>
      <w:bCs/>
      <w:lang w:val="en-GB"/>
    </w:rPr>
  </w:style>
  <w:style w:type="character" w:customStyle="1" w:styleId="Heading2Char">
    <w:name w:val="Heading 2 Char"/>
    <w:basedOn w:val="DefaultParagraphFont"/>
    <w:link w:val="Heading2"/>
    <w:rsid w:val="0079796F"/>
    <w:rPr>
      <w:rFonts w:ascii="Arial" w:hAnsi="Arial"/>
      <w:i/>
      <w:iCs/>
      <w:lang w:val="en-GB"/>
    </w:rPr>
  </w:style>
  <w:style w:type="character" w:styleId="Hyperlink">
    <w:name w:val="Hyperlink"/>
    <w:uiPriority w:val="99"/>
    <w:unhideWhenUsed/>
    <w:rsid w:val="0079796F"/>
    <w:rPr>
      <w:color w:val="0000FF"/>
      <w:u w:val="single"/>
    </w:rPr>
  </w:style>
  <w:style w:type="paragraph" w:styleId="TOC1">
    <w:name w:val="toc 1"/>
    <w:basedOn w:val="Normal"/>
    <w:next w:val="Normal"/>
    <w:link w:val="TOC1Char"/>
    <w:autoRedefine/>
    <w:uiPriority w:val="39"/>
    <w:unhideWhenUsed/>
    <w:rsid w:val="00E77A98"/>
    <w:pPr>
      <w:tabs>
        <w:tab w:val="left" w:pos="567"/>
        <w:tab w:val="right" w:pos="9638"/>
      </w:tabs>
    </w:pPr>
    <w:rPr>
      <w:rFonts w:cs="Arial"/>
      <w:noProof/>
      <w:lang w:eastAsia="en-US"/>
    </w:rPr>
  </w:style>
  <w:style w:type="paragraph" w:styleId="TOC2">
    <w:name w:val="toc 2"/>
    <w:basedOn w:val="Normal"/>
    <w:next w:val="Normal"/>
    <w:link w:val="TOC2Char"/>
    <w:autoRedefine/>
    <w:uiPriority w:val="39"/>
    <w:unhideWhenUsed/>
    <w:rsid w:val="00E77A98"/>
    <w:pPr>
      <w:widowControl w:val="0"/>
      <w:tabs>
        <w:tab w:val="left" w:pos="567"/>
        <w:tab w:val="right" w:pos="9639"/>
      </w:tabs>
      <w:spacing w:before="120"/>
      <w:ind w:left="567" w:hanging="567"/>
    </w:pPr>
    <w:rPr>
      <w:rFonts w:cs="Arial"/>
      <w:noProof/>
      <w:lang w:eastAsia="en-US"/>
    </w:rPr>
  </w:style>
  <w:style w:type="character" w:customStyle="1" w:styleId="FootnoteTextChar">
    <w:name w:val="Footnote Text Char"/>
    <w:basedOn w:val="DefaultParagraphFont"/>
    <w:link w:val="FootnoteText"/>
    <w:semiHidden/>
    <w:rsid w:val="0079796F"/>
    <w:rPr>
      <w:rFonts w:ascii="Arial" w:hAnsi="Arial"/>
      <w:sz w:val="18"/>
      <w:szCs w:val="18"/>
      <w:lang w:val="en-GB"/>
    </w:rPr>
  </w:style>
  <w:style w:type="paragraph" w:styleId="BodyText">
    <w:name w:val="Body Text"/>
    <w:basedOn w:val="Normal"/>
    <w:link w:val="BodyTextChar"/>
    <w:unhideWhenUsed/>
    <w:rsid w:val="0079796F"/>
    <w:pPr>
      <w:widowControl w:val="0"/>
      <w:autoSpaceDE w:val="0"/>
      <w:autoSpaceDN w:val="0"/>
      <w:spacing w:after="160" w:line="240" w:lineRule="auto"/>
      <w:ind w:left="720"/>
      <w:jc w:val="both"/>
    </w:pPr>
    <w:rPr>
      <w:rFonts w:ascii="Times New Roman" w:hAnsi="Times New Roman"/>
      <w:lang w:val="en-US" w:eastAsia="en-US"/>
    </w:rPr>
  </w:style>
  <w:style w:type="character" w:customStyle="1" w:styleId="BodyTextChar">
    <w:name w:val="Body Text Char"/>
    <w:basedOn w:val="DefaultParagraphFont"/>
    <w:link w:val="BodyText"/>
    <w:rsid w:val="0079796F"/>
    <w:rPr>
      <w:rFonts w:ascii="Times New Roman" w:hAnsi="Times New Roman"/>
      <w:lang w:val="en-US" w:eastAsia="en-US"/>
    </w:rPr>
  </w:style>
  <w:style w:type="paragraph" w:styleId="BodyTextIndent">
    <w:name w:val="Body Text Indent"/>
    <w:basedOn w:val="Normal"/>
    <w:link w:val="BodyTextIndentChar"/>
    <w:unhideWhenUsed/>
    <w:rsid w:val="0079796F"/>
    <w:pPr>
      <w:autoSpaceDE w:val="0"/>
      <w:autoSpaceDN w:val="0"/>
      <w:adjustRightInd w:val="0"/>
      <w:spacing w:line="240" w:lineRule="auto"/>
      <w:ind w:left="709"/>
    </w:pPr>
    <w:rPr>
      <w:rFonts w:cs="Arial"/>
      <w:sz w:val="22"/>
      <w:szCs w:val="22"/>
      <w:lang w:val="en-US" w:eastAsia="en-US"/>
    </w:rPr>
  </w:style>
  <w:style w:type="character" w:customStyle="1" w:styleId="BodyTextIndentChar">
    <w:name w:val="Body Text Indent Char"/>
    <w:basedOn w:val="DefaultParagraphFont"/>
    <w:link w:val="BodyTextIndent"/>
    <w:rsid w:val="0079796F"/>
    <w:rPr>
      <w:rFonts w:ascii="Arial" w:hAnsi="Arial" w:cs="Arial"/>
      <w:sz w:val="22"/>
      <w:szCs w:val="22"/>
      <w:lang w:val="en-US" w:eastAsia="en-US"/>
    </w:rPr>
  </w:style>
  <w:style w:type="paragraph" w:styleId="BodyTextIndent2">
    <w:name w:val="Body Text Indent 2"/>
    <w:basedOn w:val="Normal"/>
    <w:link w:val="BodyTextIndent2Char"/>
    <w:unhideWhenUsed/>
    <w:rsid w:val="0079796F"/>
    <w:pPr>
      <w:tabs>
        <w:tab w:val="num" w:pos="851"/>
      </w:tabs>
      <w:autoSpaceDE w:val="0"/>
      <w:autoSpaceDN w:val="0"/>
      <w:adjustRightInd w:val="0"/>
      <w:spacing w:line="240" w:lineRule="auto"/>
      <w:ind w:left="851"/>
    </w:pPr>
    <w:rPr>
      <w:rFonts w:cs="Arial"/>
      <w:sz w:val="22"/>
      <w:szCs w:val="22"/>
      <w:lang w:val="en-US" w:eastAsia="en-US"/>
    </w:rPr>
  </w:style>
  <w:style w:type="character" w:customStyle="1" w:styleId="BodyTextIndent2Char">
    <w:name w:val="Body Text Indent 2 Char"/>
    <w:basedOn w:val="DefaultParagraphFont"/>
    <w:link w:val="BodyTextIndent2"/>
    <w:rsid w:val="0079796F"/>
    <w:rPr>
      <w:rFonts w:ascii="Arial" w:hAnsi="Arial" w:cs="Arial"/>
      <w:sz w:val="22"/>
      <w:szCs w:val="22"/>
      <w:lang w:val="en-US" w:eastAsia="en-US"/>
    </w:rPr>
  </w:style>
  <w:style w:type="table" w:styleId="TableGrid">
    <w:name w:val="Table Grid"/>
    <w:basedOn w:val="TableNormal"/>
    <w:rsid w:val="00797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96F"/>
    <w:pPr>
      <w:spacing w:line="240" w:lineRule="auto"/>
      <w:ind w:left="720"/>
    </w:pPr>
    <w:rPr>
      <w:rFonts w:cs="Arial"/>
      <w:sz w:val="22"/>
      <w:szCs w:val="22"/>
      <w:lang w:val="en-US" w:eastAsia="en-US"/>
    </w:rPr>
  </w:style>
  <w:style w:type="paragraph" w:styleId="TOC3">
    <w:name w:val="toc 3"/>
    <w:basedOn w:val="Normal"/>
    <w:next w:val="Normal"/>
    <w:autoRedefine/>
    <w:uiPriority w:val="39"/>
    <w:rsid w:val="0079796F"/>
    <w:pPr>
      <w:spacing w:after="100" w:line="240" w:lineRule="auto"/>
      <w:ind w:left="440"/>
    </w:pPr>
    <w:rPr>
      <w:rFonts w:cs="Arial"/>
      <w:sz w:val="22"/>
      <w:szCs w:val="22"/>
      <w:lang w:val="en-US" w:eastAsia="en-US"/>
    </w:rPr>
  </w:style>
  <w:style w:type="character" w:styleId="CommentReference">
    <w:name w:val="annotation reference"/>
    <w:basedOn w:val="DefaultParagraphFont"/>
    <w:rsid w:val="0079796F"/>
    <w:rPr>
      <w:sz w:val="16"/>
      <w:szCs w:val="16"/>
    </w:rPr>
  </w:style>
  <w:style w:type="paragraph" w:styleId="CommentText">
    <w:name w:val="annotation text"/>
    <w:basedOn w:val="Normal"/>
    <w:link w:val="CommentTextChar"/>
    <w:rsid w:val="0079796F"/>
    <w:pPr>
      <w:spacing w:line="240" w:lineRule="auto"/>
    </w:pPr>
    <w:rPr>
      <w:rFonts w:cs="Arial"/>
      <w:lang w:val="en-US" w:eastAsia="en-US"/>
    </w:rPr>
  </w:style>
  <w:style w:type="character" w:customStyle="1" w:styleId="CommentTextChar">
    <w:name w:val="Comment Text Char"/>
    <w:basedOn w:val="DefaultParagraphFont"/>
    <w:link w:val="CommentText"/>
    <w:rsid w:val="0079796F"/>
    <w:rPr>
      <w:rFonts w:ascii="Arial" w:hAnsi="Arial" w:cs="Arial"/>
      <w:lang w:val="en-US" w:eastAsia="en-US"/>
    </w:rPr>
  </w:style>
  <w:style w:type="paragraph" w:styleId="CommentSubject">
    <w:name w:val="annotation subject"/>
    <w:basedOn w:val="CommentText"/>
    <w:next w:val="CommentText"/>
    <w:link w:val="CommentSubjectChar"/>
    <w:rsid w:val="0079796F"/>
    <w:rPr>
      <w:b/>
      <w:bCs/>
    </w:rPr>
  </w:style>
  <w:style w:type="character" w:customStyle="1" w:styleId="CommentSubjectChar">
    <w:name w:val="Comment Subject Char"/>
    <w:basedOn w:val="CommentTextChar"/>
    <w:link w:val="CommentSubject"/>
    <w:rsid w:val="0079796F"/>
    <w:rPr>
      <w:rFonts w:ascii="Arial" w:hAnsi="Arial" w:cs="Arial"/>
      <w:b/>
      <w:bCs/>
      <w:lang w:val="en-US" w:eastAsia="en-US"/>
    </w:rPr>
  </w:style>
  <w:style w:type="paragraph" w:customStyle="1" w:styleId="GanttheadHeading2NormalText">
    <w:name w:val="Gantthead Heading 2 Normal Text"/>
    <w:basedOn w:val="Normal"/>
    <w:rsid w:val="0079796F"/>
    <w:pPr>
      <w:spacing w:after="240" w:line="240" w:lineRule="auto"/>
      <w:ind w:left="720"/>
    </w:pPr>
    <w:rPr>
      <w:sz w:val="22"/>
      <w:lang w:val="en-US" w:eastAsia="en-US"/>
    </w:rPr>
  </w:style>
  <w:style w:type="paragraph" w:customStyle="1" w:styleId="GanttheadHeading3NormalText">
    <w:name w:val="Gantthead Heading 3 Normal Text"/>
    <w:basedOn w:val="Normal"/>
    <w:rsid w:val="0079796F"/>
    <w:pPr>
      <w:spacing w:after="240" w:line="240" w:lineRule="auto"/>
      <w:ind w:left="1440"/>
    </w:pPr>
    <w:rPr>
      <w:sz w:val="22"/>
      <w:lang w:val="en-US" w:eastAsia="en-US"/>
    </w:rPr>
  </w:style>
  <w:style w:type="paragraph" w:styleId="Revision">
    <w:name w:val="Revision"/>
    <w:hidden/>
    <w:uiPriority w:val="99"/>
    <w:semiHidden/>
    <w:rsid w:val="0079796F"/>
    <w:rPr>
      <w:rFonts w:ascii="Arial" w:hAnsi="Arial" w:cs="Arial"/>
      <w:sz w:val="22"/>
      <w:szCs w:val="22"/>
      <w:lang w:val="en-US" w:eastAsia="en-US"/>
    </w:rPr>
  </w:style>
  <w:style w:type="character" w:styleId="Strong">
    <w:name w:val="Strong"/>
    <w:basedOn w:val="DefaultParagraphFont"/>
    <w:uiPriority w:val="22"/>
    <w:qFormat/>
    <w:rsid w:val="00BF09D5"/>
    <w:rPr>
      <w:b/>
      <w:bCs/>
    </w:rPr>
  </w:style>
  <w:style w:type="paragraph" w:customStyle="1" w:styleId="Style1">
    <w:name w:val="Style1"/>
    <w:basedOn w:val="TOC2"/>
    <w:link w:val="Style1Char"/>
    <w:qFormat/>
    <w:rsid w:val="002D59C8"/>
  </w:style>
  <w:style w:type="paragraph" w:customStyle="1" w:styleId="Style2">
    <w:name w:val="Style2"/>
    <w:basedOn w:val="TOC1"/>
    <w:link w:val="Style2Char"/>
    <w:qFormat/>
    <w:rsid w:val="002D59C8"/>
  </w:style>
  <w:style w:type="character" w:customStyle="1" w:styleId="TOC2Char">
    <w:name w:val="TOC 2 Char"/>
    <w:basedOn w:val="DefaultParagraphFont"/>
    <w:link w:val="TOC2"/>
    <w:uiPriority w:val="39"/>
    <w:rsid w:val="00E77A98"/>
    <w:rPr>
      <w:rFonts w:ascii="Arial" w:hAnsi="Arial" w:cs="Arial"/>
      <w:noProof/>
      <w:lang w:val="en-GB" w:eastAsia="en-US"/>
    </w:rPr>
  </w:style>
  <w:style w:type="character" w:customStyle="1" w:styleId="Style1Char">
    <w:name w:val="Style1 Char"/>
    <w:basedOn w:val="TOC2Char"/>
    <w:link w:val="Style1"/>
    <w:rsid w:val="002D59C8"/>
    <w:rPr>
      <w:rFonts w:ascii="Arial" w:hAnsi="Arial" w:cs="Arial"/>
      <w:noProof/>
      <w:lang w:val="en-GB" w:eastAsia="en-US"/>
    </w:rPr>
  </w:style>
  <w:style w:type="paragraph" w:customStyle="1" w:styleId="Style3">
    <w:name w:val="Style3"/>
    <w:basedOn w:val="Style1"/>
    <w:link w:val="Style3Char"/>
    <w:qFormat/>
    <w:rsid w:val="002D59C8"/>
  </w:style>
  <w:style w:type="character" w:customStyle="1" w:styleId="TOC1Char">
    <w:name w:val="TOC 1 Char"/>
    <w:basedOn w:val="DefaultParagraphFont"/>
    <w:link w:val="TOC1"/>
    <w:uiPriority w:val="39"/>
    <w:rsid w:val="00E77A98"/>
    <w:rPr>
      <w:rFonts w:ascii="Arial" w:hAnsi="Arial" w:cs="Arial"/>
      <w:noProof/>
      <w:lang w:val="en-GB" w:eastAsia="en-US"/>
    </w:rPr>
  </w:style>
  <w:style w:type="character" w:customStyle="1" w:styleId="Style2Char">
    <w:name w:val="Style2 Char"/>
    <w:basedOn w:val="TOC1Char"/>
    <w:link w:val="Style2"/>
    <w:rsid w:val="002D59C8"/>
    <w:rPr>
      <w:rFonts w:ascii="Arial" w:hAnsi="Arial" w:cs="Arial"/>
      <w:b w:val="0"/>
      <w:bCs w:val="0"/>
      <w:noProof/>
      <w:lang w:val="en-GB" w:eastAsia="en-US"/>
    </w:rPr>
  </w:style>
  <w:style w:type="paragraph" w:customStyle="1" w:styleId="Style4">
    <w:name w:val="Style4"/>
    <w:basedOn w:val="TOC1"/>
    <w:link w:val="Style4Char"/>
    <w:qFormat/>
    <w:rsid w:val="000E1126"/>
    <w:pPr>
      <w:tabs>
        <w:tab w:val="clear" w:pos="9638"/>
        <w:tab w:val="right" w:pos="9639"/>
      </w:tabs>
    </w:pPr>
    <w:rPr>
      <w:rFonts w:asciiTheme="minorBidi" w:hAnsiTheme="minorBidi" w:cstheme="minorBidi"/>
    </w:rPr>
  </w:style>
  <w:style w:type="character" w:customStyle="1" w:styleId="Style3Char">
    <w:name w:val="Style3 Char"/>
    <w:basedOn w:val="Style1Char"/>
    <w:link w:val="Style3"/>
    <w:rsid w:val="002D59C8"/>
    <w:rPr>
      <w:rFonts w:ascii="Arial" w:hAnsi="Arial" w:cs="Arial"/>
      <w:noProof/>
      <w:lang w:val="en-GB" w:eastAsia="en-US"/>
    </w:rPr>
  </w:style>
  <w:style w:type="character" w:customStyle="1" w:styleId="Style4Char">
    <w:name w:val="Style4 Char"/>
    <w:basedOn w:val="TOC1Char"/>
    <w:link w:val="Style4"/>
    <w:rsid w:val="000E1126"/>
    <w:rPr>
      <w:rFonts w:asciiTheme="minorBidi" w:hAnsiTheme="minorBidi" w:cstheme="minorBidi"/>
      <w:b w:val="0"/>
      <w:bCs w:val="0"/>
      <w:noProof/>
      <w:lang w:val="en-GB" w:eastAsia="en-US"/>
    </w:rPr>
  </w:style>
  <w:style w:type="character" w:customStyle="1" w:styleId="eop">
    <w:name w:val="eop"/>
    <w:basedOn w:val="DefaultParagraphFont"/>
    <w:rsid w:val="00D03BF1"/>
  </w:style>
  <w:style w:type="paragraph" w:customStyle="1" w:styleId="paragraph">
    <w:name w:val="paragraph"/>
    <w:basedOn w:val="Normal"/>
    <w:rsid w:val="00D03BF1"/>
    <w:pPr>
      <w:spacing w:before="100" w:beforeAutospacing="1" w:after="100" w:afterAutospacing="1" w:line="240" w:lineRule="auto"/>
    </w:pPr>
    <w:rPr>
      <w:rFonts w:ascii="Times New Roman" w:hAnsi="Times New Roman"/>
      <w:sz w:val="24"/>
      <w:szCs w:val="24"/>
      <w:lang w:val="en-US" w:eastAsia="en-US"/>
    </w:rPr>
  </w:style>
  <w:style w:type="paragraph" w:customStyle="1" w:styleId="2Texte">
    <w:name w:val="2 (Texte)"/>
    <w:basedOn w:val="Normal"/>
    <w:rsid w:val="008E3212"/>
    <w:pPr>
      <w:spacing w:line="240" w:lineRule="exact"/>
      <w:jc w:val="both"/>
    </w:pPr>
    <w:rPr>
      <w:snapToGrid w:val="0"/>
      <w:lang w:val="fr-FR" w:eastAsia="fr-FR"/>
    </w:rPr>
  </w:style>
  <w:style w:type="character" w:styleId="FollowedHyperlink">
    <w:name w:val="FollowedHyperlink"/>
    <w:basedOn w:val="DefaultParagraphFont"/>
    <w:semiHidden/>
    <w:unhideWhenUsed/>
    <w:rsid w:val="00DC2AE0"/>
    <w:rPr>
      <w:color w:val="800080" w:themeColor="followedHyperlink"/>
      <w:u w:val="single"/>
    </w:rPr>
  </w:style>
  <w:style w:type="paragraph" w:styleId="TOCHeading">
    <w:name w:val="TOC Heading"/>
    <w:basedOn w:val="Heading1"/>
    <w:next w:val="Normal"/>
    <w:uiPriority w:val="39"/>
    <w:unhideWhenUsed/>
    <w:qFormat/>
    <w:rsid w:val="00344A3B"/>
    <w:pPr>
      <w:keepNext/>
      <w:keepLines/>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val="en-US" w:eastAsia="en-US"/>
    </w:rPr>
  </w:style>
  <w:style w:type="character" w:customStyle="1" w:styleId="0TextedebaseChar">
    <w:name w:val="0 Texte de base Char"/>
    <w:basedOn w:val="DefaultParagraphFont"/>
    <w:link w:val="0Textedebase"/>
    <w:rsid w:val="00FC6048"/>
    <w:rPr>
      <w:rFonts w:ascii="Arial" w:hAnsi="Arial"/>
      <w:lang w:val="en-GB"/>
    </w:rPr>
  </w:style>
  <w:style w:type="character" w:styleId="UnresolvedMention">
    <w:name w:val="Unresolved Mention"/>
    <w:basedOn w:val="DefaultParagraphFont"/>
    <w:uiPriority w:val="99"/>
    <w:semiHidden/>
    <w:unhideWhenUsed/>
    <w:rsid w:val="00142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62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TAF@upu.i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pu.int/en/universal-postal-union/activities/financial-servic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pu.int/en/publications/financial-inclusion/scalingup-postal-inclusive-insurance" TargetMode="External"/><Relationship Id="rId5" Type="http://schemas.openxmlformats.org/officeDocument/2006/relationships/numbering" Target="numbering.xml"/><Relationship Id="rId15" Type="http://schemas.openxmlformats.org/officeDocument/2006/relationships/hyperlink" Target="mailto:PITAF@upu.in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TAF@up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4.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B8013-4D56-4F69-B586-8AC4EB03105A}">
  <ds:schemaRefs>
    <ds:schemaRef ds:uri="http://schemas.openxmlformats.org/officeDocument/2006/bibliography"/>
  </ds:schemaRefs>
</ds:datastoreItem>
</file>

<file path=customXml/itemProps2.xml><?xml version="1.0" encoding="utf-8"?>
<ds:datastoreItem xmlns:ds="http://schemas.openxmlformats.org/officeDocument/2006/customXml" ds:itemID="{563DD232-B85D-426D-877D-CAAE4DDD928E}">
  <ds:schemaRefs>
    <ds:schemaRef ds:uri="http://schemas.microsoft.com/sharepoint/v3/contenttype/forms"/>
  </ds:schemaRefs>
</ds:datastoreItem>
</file>

<file path=customXml/itemProps3.xml><?xml version="1.0" encoding="utf-8"?>
<ds:datastoreItem xmlns:ds="http://schemas.openxmlformats.org/officeDocument/2006/customXml" ds:itemID="{7D74C322-4E0F-418E-B22C-375E24942499}">
  <ds:schemaRefs>
    <ds:schemaRef ds:uri="http://schemas.microsoft.com/office/2006/metadata/properties"/>
    <ds:schemaRef ds:uri="http://schemas.microsoft.com/office/infopath/2007/PartnerControls"/>
    <ds:schemaRef ds:uri="45bc4347-1e49-4f11-a2de-cdc8b1236453"/>
  </ds:schemaRefs>
</ds:datastoreItem>
</file>

<file path=customXml/itemProps4.xml><?xml version="1.0" encoding="utf-8"?>
<ds:datastoreItem xmlns:ds="http://schemas.openxmlformats.org/officeDocument/2006/customXml" ds:itemID="{5EEB2C9F-633C-45C6-8156-214CE1CCC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c4347-1e49-4f11-a2de-cdc8b1236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1651</Words>
  <Characters>9413</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X</vt:lpstr>
      <vt:lpstr>X</vt:lpstr>
    </vt:vector>
  </TitlesOfParts>
  <Company>Union postal universelle (UPU)</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 Postal Insurance Technical Assistance Facility (PITAF)</dc:title>
  <dc:creator>KAMMERMANN-JACKSON heather</dc:creator>
  <cp:lastModifiedBy>YARTSEVA veronika</cp:lastModifiedBy>
  <cp:revision>8</cp:revision>
  <cp:lastPrinted>2020-06-04T13:11:00Z</cp:lastPrinted>
  <dcterms:created xsi:type="dcterms:W3CDTF">2025-07-03T07:21:00Z</dcterms:created>
  <dcterms:modified xsi:type="dcterms:W3CDTF">2025-07-08T12:22:00Z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_dlc_DocIdItemGuid">
    <vt:lpwstr>02c18354-b9a7-443e-8263-16902783b6a4</vt:lpwstr>
  </property>
</Properties>
</file>