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6A7" w14:textId="52F9C806" w:rsidR="00115AFE" w:rsidRPr="00D50DD8" w:rsidRDefault="000A3B80" w:rsidP="00D50DD8">
      <w:pPr>
        <w:pStyle w:val="0Textedebase"/>
        <w:bidi/>
        <w:jc w:val="lowKashida"/>
        <w:rPr>
          <w:b/>
          <w:bCs/>
          <w:sz w:val="28"/>
          <w:szCs w:val="28"/>
          <w:rtl/>
        </w:rPr>
      </w:pPr>
      <w:r w:rsidRPr="00D50DD8">
        <w:rPr>
          <w:b/>
          <w:bCs/>
          <w:sz w:val="28"/>
          <w:szCs w:val="28"/>
          <w:rtl/>
        </w:rPr>
        <w:t>طلب في إطار آلية المساعدة التقنية في مجال التأمين البريدي</w:t>
      </w:r>
      <w:r w:rsidR="00D50DD8">
        <w:rPr>
          <w:rFonts w:hint="cs"/>
          <w:b/>
          <w:bCs/>
          <w:sz w:val="28"/>
          <w:szCs w:val="28"/>
          <w:rtl/>
        </w:rPr>
        <w:t xml:space="preserve"> </w:t>
      </w:r>
      <w:r w:rsidRPr="00D50DD8">
        <w:rPr>
          <w:b/>
          <w:bCs/>
          <w:sz w:val="28"/>
          <w:szCs w:val="28"/>
          <w:rtl/>
        </w:rPr>
        <w:t>- نموذج اقتراح مشروع</w:t>
      </w:r>
    </w:p>
    <w:p w14:paraId="571E231F" w14:textId="77777777" w:rsidR="00983B64" w:rsidRPr="00D50DD8" w:rsidRDefault="00983B64" w:rsidP="00D50DD8">
      <w:pPr>
        <w:pStyle w:val="0Textedebase"/>
        <w:bidi/>
        <w:jc w:val="lowKashida"/>
        <w:rPr>
          <w:sz w:val="28"/>
          <w:szCs w:val="28"/>
        </w:rPr>
      </w:pPr>
    </w:p>
    <w:p w14:paraId="3A364DC7" w14:textId="77777777" w:rsidR="00D10AEE" w:rsidRPr="00D50DD8" w:rsidRDefault="00D10AEE" w:rsidP="00D50DD8">
      <w:pPr>
        <w:pStyle w:val="0Textedebase"/>
        <w:bidi/>
        <w:jc w:val="lowKashida"/>
        <w:rPr>
          <w:sz w:val="28"/>
          <w:szCs w:val="28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9"/>
        <w:gridCol w:w="1690"/>
        <w:gridCol w:w="1842"/>
        <w:gridCol w:w="2072"/>
        <w:gridCol w:w="1613"/>
      </w:tblGrid>
      <w:tr w:rsidR="00D50DD8" w:rsidRPr="00D50DD8" w14:paraId="2832A198" w14:textId="77777777" w:rsidTr="00D50DD8">
        <w:trPr>
          <w:trHeight w:val="798"/>
        </w:trPr>
        <w:tc>
          <w:tcPr>
            <w:tcW w:w="0" w:type="auto"/>
            <w:shd w:val="clear" w:color="auto" w:fill="808080" w:themeFill="background1" w:themeFillShade="80"/>
            <w:noWrap/>
          </w:tcPr>
          <w:p w14:paraId="5052AC40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المكون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0EA6EEBE" w14:textId="3256C90C" w:rsidR="00B90DF8" w:rsidRPr="00D50DD8" w:rsidRDefault="00B90DF8" w:rsidP="00D50DD8">
            <w:pPr>
              <w:bidi/>
              <w:spacing w:before="60" w:after="60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المجموع (بالدولار الأمريكي)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t xml:space="preserve"> 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br/>
            </w: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"ألف"+ "باء" + "جيم"</w:t>
            </w:r>
          </w:p>
        </w:tc>
        <w:tc>
          <w:tcPr>
            <w:tcW w:w="956" w:type="pct"/>
            <w:shd w:val="clear" w:color="auto" w:fill="B8CCE4" w:themeFill="accent1" w:themeFillTint="66"/>
          </w:tcPr>
          <w:p w14:paraId="35219A2F" w14:textId="05C38329" w:rsidR="00B90DF8" w:rsidRPr="00D50DD8" w:rsidRDefault="00F37EC1" w:rsidP="00D50DD8">
            <w:pPr>
              <w:bidi/>
              <w:spacing w:before="60" w:after="60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مساهمة المستثمر المعي</w:t>
            </w:r>
            <w:r w:rsidR="00D50DD8" w:rsidRPr="00D50DD8">
              <w:rPr>
                <w:rFonts w:hint="cs"/>
                <w:i/>
                <w:iCs/>
                <w:color w:val="FFFFFF" w:themeColor="background1"/>
                <w:sz w:val="28"/>
                <w:szCs w:val="28"/>
                <w:rtl/>
              </w:rPr>
              <w:t>َّ</w:t>
            </w: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ن مقدّم الطلب (الدولار الأمريكي)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t xml:space="preserve"> 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br/>
            </w: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"ألف"</w:t>
            </w:r>
          </w:p>
        </w:tc>
        <w:tc>
          <w:tcPr>
            <w:tcW w:w="1075" w:type="pct"/>
            <w:shd w:val="clear" w:color="auto" w:fill="E5B8B7" w:themeFill="accent2" w:themeFillTint="66"/>
          </w:tcPr>
          <w:p w14:paraId="6524C886" w14:textId="5085535B" w:rsidR="00B90DF8" w:rsidRPr="00D50DD8" w:rsidRDefault="00807816" w:rsidP="00D50DD8">
            <w:pPr>
              <w:bidi/>
              <w:spacing w:before="60" w:after="60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المبلغ المتوقع أن يُسهم به الاتحاد البريدي العالمي (الدولار الأمريكي)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t xml:space="preserve"> 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br/>
            </w: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"باء"</w:t>
            </w:r>
          </w:p>
        </w:tc>
        <w:tc>
          <w:tcPr>
            <w:tcW w:w="837" w:type="pct"/>
            <w:shd w:val="clear" w:color="auto" w:fill="FABF8F" w:themeFill="accent6" w:themeFillTint="99"/>
          </w:tcPr>
          <w:p w14:paraId="4F2DB982" w14:textId="09CD3E86" w:rsidR="00B90DF8" w:rsidRPr="00D50DD8" w:rsidRDefault="009C5850" w:rsidP="00D50DD8">
            <w:pPr>
              <w:bidi/>
              <w:spacing w:before="60" w:after="60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مساهمة الشريك (الشركاء)</w:t>
            </w:r>
            <w:r w:rsidR="00D50DD8" w:rsidRPr="00D50DD8">
              <w:rPr>
                <w:rStyle w:val="FootnoteReference"/>
                <w:i/>
                <w:iCs/>
                <w:color w:val="FFFFFF" w:themeColor="background1"/>
                <w:rtl/>
              </w:rPr>
              <w:footnoteReference w:id="2"/>
            </w: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 xml:space="preserve"> (الدولار الأمريكي)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t xml:space="preserve"> </w:t>
            </w:r>
            <w:r w:rsidR="00D50DD8" w:rsidRPr="00D50DD8">
              <w:rPr>
                <w:i/>
                <w:iCs/>
                <w:color w:val="FFFFFF" w:themeColor="background1"/>
                <w:lang w:eastAsia="en-GB"/>
              </w:rPr>
              <w:br/>
            </w:r>
            <w:r w:rsidRPr="00D50DD8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"جيم"</w:t>
            </w:r>
          </w:p>
        </w:tc>
      </w:tr>
      <w:tr w:rsidR="00D50DD8" w:rsidRPr="00D50DD8" w14:paraId="67390467" w14:textId="77777777" w:rsidTr="00D50DD8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14:paraId="396E173D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1: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E62E4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3EA4959A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4B0C0771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2786535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746AB0A5" w14:textId="77777777" w:rsidTr="00D50DD8">
        <w:trPr>
          <w:trHeight w:val="50"/>
        </w:trPr>
        <w:tc>
          <w:tcPr>
            <w:tcW w:w="0" w:type="auto"/>
            <w:shd w:val="clear" w:color="auto" w:fill="auto"/>
            <w:noWrap/>
            <w:vAlign w:val="center"/>
          </w:tcPr>
          <w:p w14:paraId="116AD9A8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2: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CCDA2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10D9A442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087F3AB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13FD386F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240A1723" w14:textId="77777777" w:rsidTr="00D50DD8">
        <w:trPr>
          <w:trHeight w:val="50"/>
        </w:trPr>
        <w:tc>
          <w:tcPr>
            <w:tcW w:w="0" w:type="auto"/>
            <w:shd w:val="clear" w:color="auto" w:fill="auto"/>
            <w:noWrap/>
            <w:vAlign w:val="center"/>
          </w:tcPr>
          <w:p w14:paraId="3C079E3B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3: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E13A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4D55B04F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6B59A615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6945563B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21B19868" w14:textId="77777777" w:rsidTr="00D50DD8">
        <w:trPr>
          <w:trHeight w:val="134"/>
        </w:trPr>
        <w:tc>
          <w:tcPr>
            <w:tcW w:w="0" w:type="auto"/>
            <w:shd w:val="clear" w:color="auto" w:fill="auto"/>
            <w:noWrap/>
            <w:vAlign w:val="center"/>
          </w:tcPr>
          <w:p w14:paraId="32265D4D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4: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626AC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269643D7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6DB56126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625CEB09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583C19F4" w14:textId="77777777" w:rsidTr="00D50DD8">
        <w:trPr>
          <w:trHeight w:val="237"/>
        </w:trPr>
        <w:tc>
          <w:tcPr>
            <w:tcW w:w="0" w:type="auto"/>
            <w:shd w:val="clear" w:color="auto" w:fill="auto"/>
            <w:noWrap/>
            <w:vAlign w:val="center"/>
          </w:tcPr>
          <w:p w14:paraId="353082FB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5: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DAFAD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0AE9472F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325C868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22A2BD12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44D0360F" w14:textId="77777777" w:rsidTr="00D50DD8">
        <w:trPr>
          <w:trHeight w:val="186"/>
        </w:trPr>
        <w:tc>
          <w:tcPr>
            <w:tcW w:w="0" w:type="auto"/>
            <w:shd w:val="clear" w:color="auto" w:fill="auto"/>
            <w:noWrap/>
            <w:vAlign w:val="center"/>
          </w:tcPr>
          <w:p w14:paraId="14BC8B3F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6: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6AF0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6CE66448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5DA200D6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2B06F420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57207972" w14:textId="77777777" w:rsidTr="00D50DD8">
        <w:trPr>
          <w:trHeight w:val="289"/>
        </w:trPr>
        <w:tc>
          <w:tcPr>
            <w:tcW w:w="0" w:type="auto"/>
            <w:shd w:val="clear" w:color="auto" w:fill="auto"/>
            <w:noWrap/>
            <w:vAlign w:val="center"/>
          </w:tcPr>
          <w:p w14:paraId="02B6AD67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7: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6F4A0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32837E69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79955C48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720223B3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09359865" w14:textId="77777777" w:rsidTr="00D50DD8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</w:tcPr>
          <w:p w14:paraId="13DFE827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sz w:val="28"/>
                <w:szCs w:val="28"/>
                <w:rtl/>
              </w:rPr>
              <w:t>النشاط 8: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9DC90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33EF4339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7CF2C369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083F8DF5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71CBD865" w14:textId="77777777" w:rsidTr="00D50DD8">
        <w:trPr>
          <w:trHeight w:val="50"/>
        </w:trPr>
        <w:tc>
          <w:tcPr>
            <w:tcW w:w="0" w:type="auto"/>
            <w:shd w:val="clear" w:color="auto" w:fill="auto"/>
            <w:noWrap/>
            <w:vAlign w:val="center"/>
          </w:tcPr>
          <w:p w14:paraId="68240A7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37FA1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063426FF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19C8C082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458DF3B9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2E589005" w14:textId="77777777" w:rsidTr="00D50DD8">
        <w:trPr>
          <w:trHeight w:val="50"/>
        </w:trPr>
        <w:tc>
          <w:tcPr>
            <w:tcW w:w="0" w:type="auto"/>
            <w:shd w:val="clear" w:color="auto" w:fill="auto"/>
            <w:noWrap/>
            <w:vAlign w:val="center"/>
          </w:tcPr>
          <w:p w14:paraId="343992E1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482B4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50D6F95F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6229A460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7293E22B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21A36B69" w14:textId="77777777" w:rsidTr="00D50DD8">
        <w:trPr>
          <w:trHeight w:val="96"/>
        </w:trPr>
        <w:tc>
          <w:tcPr>
            <w:tcW w:w="0" w:type="auto"/>
            <w:shd w:val="clear" w:color="auto" w:fill="auto"/>
            <w:noWrap/>
            <w:vAlign w:val="center"/>
          </w:tcPr>
          <w:p w14:paraId="1699E829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C264B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3505C3F8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393BC7D4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456DD579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36F7365D" w14:textId="77777777" w:rsidTr="00D50DD8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</w:tcPr>
          <w:p w14:paraId="155C5691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1ADBA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2E228320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7D0D3232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7E4BA49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66853C05" w14:textId="77777777" w:rsidTr="00D50DD8">
        <w:trPr>
          <w:trHeight w:val="148"/>
        </w:trPr>
        <w:tc>
          <w:tcPr>
            <w:tcW w:w="0" w:type="auto"/>
            <w:shd w:val="clear" w:color="auto" w:fill="auto"/>
            <w:noWrap/>
            <w:vAlign w:val="center"/>
          </w:tcPr>
          <w:p w14:paraId="44ED5617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C950F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B8CCE4" w:themeFill="accent1" w:themeFillTint="66"/>
            <w:noWrap/>
            <w:vAlign w:val="center"/>
          </w:tcPr>
          <w:p w14:paraId="5DBF3F15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E5B8B7" w:themeFill="accent2" w:themeFillTint="66"/>
            <w:noWrap/>
            <w:vAlign w:val="center"/>
          </w:tcPr>
          <w:p w14:paraId="0CE3F248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FABF8F" w:themeFill="accent6" w:themeFillTint="99"/>
            <w:noWrap/>
            <w:vAlign w:val="center"/>
          </w:tcPr>
          <w:p w14:paraId="1FD26BFB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D50DD8" w:rsidRPr="00D50DD8" w14:paraId="28BAD93D" w14:textId="77777777" w:rsidTr="00D50DD8">
        <w:trPr>
          <w:trHeight w:val="50"/>
        </w:trPr>
        <w:tc>
          <w:tcPr>
            <w:tcW w:w="0" w:type="auto"/>
            <w:shd w:val="clear" w:color="auto" w:fill="808080" w:themeFill="background1" w:themeFillShade="80"/>
            <w:noWrap/>
            <w:vAlign w:val="center"/>
          </w:tcPr>
          <w:p w14:paraId="205C82BB" w14:textId="6A898EC8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rtl/>
              </w:rPr>
            </w:pPr>
            <w:r w:rsidRPr="00D50DD8">
              <w:rPr>
                <w:color w:val="FFFFFF"/>
                <w:sz w:val="28"/>
                <w:szCs w:val="28"/>
                <w:rtl/>
              </w:rPr>
              <w:t>إجمالي تكاليف المشروع</w:t>
            </w:r>
            <w:r w:rsidR="00D50DD8">
              <w:rPr>
                <w:rStyle w:val="FootnoteReference"/>
                <w:color w:val="FFFFFF"/>
                <w:rtl/>
              </w:rPr>
              <w:footnoteReference w:id="3"/>
            </w:r>
          </w:p>
        </w:tc>
        <w:tc>
          <w:tcPr>
            <w:tcW w:w="0" w:type="auto"/>
            <w:shd w:val="clear" w:color="auto" w:fill="808080" w:themeFill="background1" w:themeFillShade="80"/>
            <w:noWrap/>
            <w:vAlign w:val="center"/>
          </w:tcPr>
          <w:p w14:paraId="180FFD87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956" w:type="pct"/>
            <w:shd w:val="clear" w:color="auto" w:fill="808080" w:themeFill="background1" w:themeFillShade="80"/>
            <w:noWrap/>
            <w:vAlign w:val="center"/>
          </w:tcPr>
          <w:p w14:paraId="387DE35C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5" w:type="pct"/>
            <w:shd w:val="clear" w:color="auto" w:fill="808080" w:themeFill="background1" w:themeFillShade="80"/>
            <w:noWrap/>
            <w:vAlign w:val="center"/>
          </w:tcPr>
          <w:p w14:paraId="5088068E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837" w:type="pct"/>
            <w:shd w:val="clear" w:color="auto" w:fill="808080" w:themeFill="background1" w:themeFillShade="80"/>
            <w:noWrap/>
            <w:vAlign w:val="center"/>
          </w:tcPr>
          <w:p w14:paraId="0D705007" w14:textId="77777777" w:rsidR="00B90DF8" w:rsidRPr="00D50DD8" w:rsidRDefault="00B90DF8" w:rsidP="00D50DD8">
            <w:pPr>
              <w:bidi/>
              <w:spacing w:before="60" w:after="60"/>
              <w:jc w:val="lowKashida"/>
              <w:rPr>
                <w:sz w:val="28"/>
                <w:szCs w:val="28"/>
                <w:lang w:eastAsia="en-GB"/>
              </w:rPr>
            </w:pPr>
          </w:p>
        </w:tc>
      </w:tr>
    </w:tbl>
    <w:p w14:paraId="232CB195" w14:textId="77777777" w:rsidR="00B90DF8" w:rsidRPr="00D50DD8" w:rsidRDefault="00B90DF8" w:rsidP="00D50DD8">
      <w:pPr>
        <w:pStyle w:val="0Textedebase"/>
        <w:bidi/>
        <w:jc w:val="lowKashida"/>
        <w:rPr>
          <w:sz w:val="28"/>
          <w:szCs w:val="28"/>
        </w:rPr>
      </w:pPr>
    </w:p>
    <w:p w14:paraId="04A5725B" w14:textId="77777777" w:rsidR="00B90DF8" w:rsidRPr="00D50DD8" w:rsidRDefault="00B90DF8" w:rsidP="00D50DD8">
      <w:pPr>
        <w:pStyle w:val="0Textedebase"/>
        <w:bidi/>
        <w:jc w:val="lowKashida"/>
        <w:rPr>
          <w:sz w:val="28"/>
          <w:szCs w:val="28"/>
        </w:rPr>
      </w:pPr>
    </w:p>
    <w:sectPr w:rsidR="00B90DF8" w:rsidRPr="00D50DD8" w:rsidSect="00D50DD8">
      <w:headerReference w:type="even" r:id="rId11"/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8" w:right="1411" w:bottom="1138" w:left="850" w:header="677" w:footer="504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A64E" w14:textId="77777777" w:rsidR="003674F4" w:rsidRDefault="003674F4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276FF367" w14:textId="77777777" w:rsidR="003674F4" w:rsidRDefault="0036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4A85" w14:textId="41CEDCD2" w:rsidR="00E6496D" w:rsidRPr="00D10AEE" w:rsidRDefault="00E6496D">
    <w:pPr>
      <w:pStyle w:val="Footer"/>
      <w:bidi/>
      <w:rPr>
        <w:vanish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4884" w14:textId="77777777" w:rsidR="003674F4" w:rsidRDefault="003674F4" w:rsidP="009E7ADC">
      <w:pPr>
        <w:rPr>
          <w:sz w:val="18"/>
        </w:rPr>
      </w:pPr>
    </w:p>
  </w:footnote>
  <w:footnote w:type="continuationSeparator" w:id="0">
    <w:p w14:paraId="0FDE8BE1" w14:textId="77777777" w:rsidR="003674F4" w:rsidRPr="00252BCD" w:rsidRDefault="003674F4" w:rsidP="009E7ADC">
      <w:pPr>
        <w:rPr>
          <w:sz w:val="18"/>
          <w:szCs w:val="18"/>
        </w:rPr>
      </w:pPr>
    </w:p>
  </w:footnote>
  <w:footnote w:type="continuationNotice" w:id="1">
    <w:p w14:paraId="57EE7D7A" w14:textId="77777777" w:rsidR="003674F4" w:rsidRPr="00252BCD" w:rsidRDefault="003674F4" w:rsidP="004E2B3B">
      <w:pPr>
        <w:rPr>
          <w:sz w:val="18"/>
          <w:szCs w:val="18"/>
        </w:rPr>
      </w:pPr>
    </w:p>
  </w:footnote>
  <w:footnote w:id="2">
    <w:p w14:paraId="1895BCE4" w14:textId="3A063FD9" w:rsidR="00D50DD8" w:rsidRPr="00D50DD8" w:rsidRDefault="00D50DD8" w:rsidP="00D50DD8">
      <w:pPr>
        <w:pStyle w:val="FootnoteText"/>
        <w:bidi/>
        <w:ind w:left="216" w:hanging="216"/>
        <w:jc w:val="lowKashida"/>
        <w:rPr>
          <w:rFonts w:hint="cs"/>
          <w:sz w:val="20"/>
          <w:szCs w:val="20"/>
          <w:rtl/>
          <w:lang w:bidi="ar-EG"/>
        </w:rPr>
      </w:pPr>
      <w:r w:rsidRPr="00D50DD8">
        <w:rPr>
          <w:rStyle w:val="FootnoteReference"/>
        </w:rPr>
        <w:footnoteRef/>
      </w:r>
      <w:r w:rsidRPr="00D50DD8">
        <w:rPr>
          <w:sz w:val="20"/>
          <w:szCs w:val="20"/>
          <w:rtl/>
        </w:rPr>
        <w:tab/>
      </w:r>
      <w:r w:rsidRPr="00D50DD8">
        <w:rPr>
          <w:rFonts w:hint="cs"/>
          <w:sz w:val="20"/>
          <w:szCs w:val="20"/>
          <w:rtl/>
        </w:rPr>
        <w:t>اسم (أسماء) الأطراف الثالثة التي تقدم الدعم المالي للمشروع.</w:t>
      </w:r>
    </w:p>
  </w:footnote>
  <w:footnote w:id="3">
    <w:p w14:paraId="3A37917C" w14:textId="5256D80F" w:rsidR="00D50DD8" w:rsidRPr="00D50DD8" w:rsidRDefault="00D50DD8" w:rsidP="00D50DD8">
      <w:pPr>
        <w:pStyle w:val="FootnoteText"/>
        <w:bidi/>
        <w:ind w:left="216" w:hanging="216"/>
        <w:jc w:val="lowKashida"/>
        <w:rPr>
          <w:rFonts w:hint="cs"/>
          <w:sz w:val="20"/>
          <w:szCs w:val="20"/>
          <w:rtl/>
          <w:lang w:bidi="ar-EG"/>
        </w:rPr>
      </w:pPr>
      <w:r w:rsidRPr="00D50DD8">
        <w:rPr>
          <w:rStyle w:val="FootnoteReference"/>
        </w:rPr>
        <w:footnoteRef/>
      </w:r>
      <w:r w:rsidRPr="00D50DD8">
        <w:rPr>
          <w:sz w:val="20"/>
          <w:szCs w:val="20"/>
          <w:rtl/>
        </w:rPr>
        <w:tab/>
      </w:r>
      <w:r w:rsidRPr="00D50DD8">
        <w:rPr>
          <w:rFonts w:hint="cs"/>
          <w:sz w:val="20"/>
          <w:szCs w:val="20"/>
          <w:rtl/>
        </w:rPr>
        <w:t>إجمالي الميزانية المقدرة، وهو يتألف من المساهمات المالية المتوقع أن يُسهم بها الاتحاد البريدي العالمي، والمستثمر المعي</w:t>
      </w:r>
      <w:r>
        <w:rPr>
          <w:rFonts w:hint="cs"/>
          <w:sz w:val="20"/>
          <w:szCs w:val="20"/>
          <w:rtl/>
        </w:rPr>
        <w:t>َّ</w:t>
      </w:r>
      <w:r w:rsidRPr="00D50DD8">
        <w:rPr>
          <w:rFonts w:hint="cs"/>
          <w:sz w:val="20"/>
          <w:szCs w:val="20"/>
          <w:rtl/>
        </w:rPr>
        <w:t>ن الذي قدم الطلب، وأي شركاء، عند الاقتضاء.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39B6" w14:textId="77777777" w:rsidR="00527FF5" w:rsidRDefault="00527FF5">
    <w:pPr>
      <w:jc w:val="center"/>
    </w:pPr>
    <w:r>
      <w:pgNum/>
    </w:r>
  </w:p>
  <w:p w14:paraId="00B8BDA8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FE3F" w14:textId="77777777" w:rsidR="00527FF5" w:rsidRDefault="00527FF5" w:rsidP="00F639BA">
    <w:pPr>
      <w:jc w:val="center"/>
    </w:pPr>
    <w:r>
      <w:pgNum/>
    </w:r>
  </w:p>
  <w:p w14:paraId="406268CA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2"/>
      <w:gridCol w:w="4404"/>
    </w:tblGrid>
    <w:tr w:rsidR="00D50DD8" w14:paraId="3CD0B686" w14:textId="77777777" w:rsidTr="00D50DD8">
      <w:trPr>
        <w:trHeight w:val="1985"/>
      </w:trPr>
      <w:tc>
        <w:tcPr>
          <w:tcW w:w="2717" w:type="pct"/>
          <w:hideMark/>
        </w:tcPr>
        <w:p w14:paraId="628D1577" w14:textId="5AC37D4F" w:rsidR="00D50DD8" w:rsidRDefault="00D50DD8" w:rsidP="00D50DD8">
          <w:pPr>
            <w:tabs>
              <w:tab w:val="center" w:pos="4536"/>
              <w:tab w:val="right" w:pos="9072"/>
            </w:tabs>
            <w:bidi/>
            <w:spacing w:line="240" w:lineRule="auto"/>
            <w:ind w:left="990" w:hanging="990"/>
            <w:jc w:val="lowKashida"/>
            <w:rPr>
              <w:rFonts w:ascii="45 Helvetica Light" w:eastAsia="SimSun" w:hAnsi="45 Helvetica Light"/>
              <w:sz w:val="28"/>
              <w:szCs w:val="28"/>
            </w:rPr>
          </w:pPr>
          <w:r>
            <w:rPr>
              <w:rFonts w:eastAsia="SimSun"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66D3B329" wp14:editId="24228134">
                <wp:extent cx="1605915" cy="521970"/>
                <wp:effectExtent l="0" t="0" r="0" b="0"/>
                <wp:docPr id="3" name="Picture 3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91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3" w:type="pct"/>
          <w:hideMark/>
        </w:tcPr>
        <w:p w14:paraId="597D73CF" w14:textId="79204C55" w:rsidR="00D50DD8" w:rsidRDefault="00D50DD8" w:rsidP="00D50DD8">
          <w:pPr>
            <w:autoSpaceDE w:val="0"/>
            <w:autoSpaceDN w:val="0"/>
            <w:bidi/>
            <w:adjustRightInd w:val="0"/>
            <w:spacing w:line="240" w:lineRule="auto"/>
            <w:ind w:right="8"/>
            <w:jc w:val="lowKashida"/>
            <w:rPr>
              <w:rFonts w:eastAsia="SimSun"/>
              <w:sz w:val="28"/>
              <w:szCs w:val="28"/>
            </w:rPr>
          </w:pPr>
          <w:r>
            <w:rPr>
              <w:rFonts w:eastAsia="SimSun" w:hint="cs"/>
              <w:sz w:val="28"/>
              <w:szCs w:val="28"/>
              <w:rtl/>
            </w:rPr>
            <w:t xml:space="preserve">الملحق </w:t>
          </w:r>
          <w:r>
            <w:rPr>
              <w:rFonts w:eastAsia="SimSun" w:hint="cs"/>
              <w:sz w:val="28"/>
              <w:szCs w:val="28"/>
              <w:rtl/>
            </w:rPr>
            <w:t>2</w:t>
          </w:r>
          <w:r>
            <w:rPr>
              <w:rFonts w:eastAsia="SimSun" w:hint="cs"/>
              <w:sz w:val="28"/>
              <w:szCs w:val="28"/>
              <w:rtl/>
            </w:rPr>
            <w:t xml:space="preserve"> </w:t>
          </w:r>
        </w:p>
      </w:tc>
    </w:tr>
  </w:tbl>
  <w:p w14:paraId="36673C11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64"/>
    <w:rsid w:val="000021DD"/>
    <w:rsid w:val="00004D2B"/>
    <w:rsid w:val="00006B27"/>
    <w:rsid w:val="00012EF7"/>
    <w:rsid w:val="0002298F"/>
    <w:rsid w:val="00023669"/>
    <w:rsid w:val="000240AC"/>
    <w:rsid w:val="00026EC5"/>
    <w:rsid w:val="000465C9"/>
    <w:rsid w:val="0005494C"/>
    <w:rsid w:val="000569F6"/>
    <w:rsid w:val="00061593"/>
    <w:rsid w:val="00080707"/>
    <w:rsid w:val="000934C4"/>
    <w:rsid w:val="000A3B80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2314E8"/>
    <w:rsid w:val="00232DCA"/>
    <w:rsid w:val="00243A44"/>
    <w:rsid w:val="00252BCD"/>
    <w:rsid w:val="00261EAE"/>
    <w:rsid w:val="0026706D"/>
    <w:rsid w:val="00272937"/>
    <w:rsid w:val="00275442"/>
    <w:rsid w:val="00282124"/>
    <w:rsid w:val="00282FAD"/>
    <w:rsid w:val="0029168C"/>
    <w:rsid w:val="002A3142"/>
    <w:rsid w:val="002A663B"/>
    <w:rsid w:val="002B1B7A"/>
    <w:rsid w:val="002B2A67"/>
    <w:rsid w:val="002B66E8"/>
    <w:rsid w:val="002C2BB1"/>
    <w:rsid w:val="002C3576"/>
    <w:rsid w:val="002D03DB"/>
    <w:rsid w:val="002E35B9"/>
    <w:rsid w:val="002F7773"/>
    <w:rsid w:val="003002DC"/>
    <w:rsid w:val="003104EA"/>
    <w:rsid w:val="003118BD"/>
    <w:rsid w:val="00325076"/>
    <w:rsid w:val="00325132"/>
    <w:rsid w:val="00331C6E"/>
    <w:rsid w:val="00334916"/>
    <w:rsid w:val="003405FB"/>
    <w:rsid w:val="003407BC"/>
    <w:rsid w:val="00342CD6"/>
    <w:rsid w:val="00343FF6"/>
    <w:rsid w:val="00345BD5"/>
    <w:rsid w:val="0035401F"/>
    <w:rsid w:val="00355163"/>
    <w:rsid w:val="003615D9"/>
    <w:rsid w:val="00361DE6"/>
    <w:rsid w:val="003674F4"/>
    <w:rsid w:val="00372B67"/>
    <w:rsid w:val="0037420A"/>
    <w:rsid w:val="003750AE"/>
    <w:rsid w:val="00376861"/>
    <w:rsid w:val="003864BA"/>
    <w:rsid w:val="003A07AA"/>
    <w:rsid w:val="003B1F46"/>
    <w:rsid w:val="003E1B9E"/>
    <w:rsid w:val="003E50A7"/>
    <w:rsid w:val="003E52C0"/>
    <w:rsid w:val="003F1D49"/>
    <w:rsid w:val="003F543D"/>
    <w:rsid w:val="00415E00"/>
    <w:rsid w:val="00416A3A"/>
    <w:rsid w:val="00421698"/>
    <w:rsid w:val="00422F57"/>
    <w:rsid w:val="0046077D"/>
    <w:rsid w:val="004611D5"/>
    <w:rsid w:val="0046728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46525"/>
    <w:rsid w:val="00565476"/>
    <w:rsid w:val="00570EDB"/>
    <w:rsid w:val="005749CB"/>
    <w:rsid w:val="00577828"/>
    <w:rsid w:val="005824F6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5AF5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DEA"/>
    <w:rsid w:val="007F6E68"/>
    <w:rsid w:val="00807816"/>
    <w:rsid w:val="00843281"/>
    <w:rsid w:val="00844D63"/>
    <w:rsid w:val="00857B50"/>
    <w:rsid w:val="0087570D"/>
    <w:rsid w:val="00881630"/>
    <w:rsid w:val="00881F35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8F7267"/>
    <w:rsid w:val="0091074C"/>
    <w:rsid w:val="00915234"/>
    <w:rsid w:val="00932DC4"/>
    <w:rsid w:val="009434D3"/>
    <w:rsid w:val="009569DE"/>
    <w:rsid w:val="00957FCD"/>
    <w:rsid w:val="00974119"/>
    <w:rsid w:val="00983B64"/>
    <w:rsid w:val="00984786"/>
    <w:rsid w:val="009B449A"/>
    <w:rsid w:val="009C5850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209B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7190D"/>
    <w:rsid w:val="00B838AD"/>
    <w:rsid w:val="00B85D1A"/>
    <w:rsid w:val="00B86608"/>
    <w:rsid w:val="00B90DF8"/>
    <w:rsid w:val="00BA404F"/>
    <w:rsid w:val="00BB3ACD"/>
    <w:rsid w:val="00BC0807"/>
    <w:rsid w:val="00BC1442"/>
    <w:rsid w:val="00BC2166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40C11"/>
    <w:rsid w:val="00C74B88"/>
    <w:rsid w:val="00C839D7"/>
    <w:rsid w:val="00C903B8"/>
    <w:rsid w:val="00C91301"/>
    <w:rsid w:val="00C91C2F"/>
    <w:rsid w:val="00CA3D20"/>
    <w:rsid w:val="00CB2358"/>
    <w:rsid w:val="00CB2FA6"/>
    <w:rsid w:val="00CC0402"/>
    <w:rsid w:val="00CC3161"/>
    <w:rsid w:val="00CC7367"/>
    <w:rsid w:val="00CD03E7"/>
    <w:rsid w:val="00CE2270"/>
    <w:rsid w:val="00D10AEE"/>
    <w:rsid w:val="00D154F8"/>
    <w:rsid w:val="00D15E4F"/>
    <w:rsid w:val="00D3589B"/>
    <w:rsid w:val="00D47895"/>
    <w:rsid w:val="00D50254"/>
    <w:rsid w:val="00D50DD8"/>
    <w:rsid w:val="00D61B31"/>
    <w:rsid w:val="00D64064"/>
    <w:rsid w:val="00D73262"/>
    <w:rsid w:val="00D73A0A"/>
    <w:rsid w:val="00D90262"/>
    <w:rsid w:val="00DA49AB"/>
    <w:rsid w:val="00DA646A"/>
    <w:rsid w:val="00DB7EC0"/>
    <w:rsid w:val="00DC4D86"/>
    <w:rsid w:val="00E048A5"/>
    <w:rsid w:val="00E107A0"/>
    <w:rsid w:val="00E10CD5"/>
    <w:rsid w:val="00E20533"/>
    <w:rsid w:val="00E270C8"/>
    <w:rsid w:val="00E31D00"/>
    <w:rsid w:val="00E3448B"/>
    <w:rsid w:val="00E3538A"/>
    <w:rsid w:val="00E35665"/>
    <w:rsid w:val="00E50A0A"/>
    <w:rsid w:val="00E603F6"/>
    <w:rsid w:val="00E6496D"/>
    <w:rsid w:val="00E72B05"/>
    <w:rsid w:val="00E73598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37EC1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26A7"/>
    <w:rsid w:val="00FB6F79"/>
    <w:rsid w:val="00FC5E68"/>
    <w:rsid w:val="00FD4FD5"/>
    <w:rsid w:val="00FE6153"/>
    <w:rsid w:val="00FE6D69"/>
    <w:rsid w:val="00FF2BFE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24F71FF"/>
  <w15:docId w15:val="{C274BD7B-3979-4CE9-8099-CBDFD32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</w:style>
  <w:style w:type="paragraph" w:styleId="BalloonText">
    <w:name w:val="Balloon Text"/>
    <w:basedOn w:val="Normal"/>
    <w:semiHidden/>
    <w:rsid w:val="00A5792F"/>
    <w:rPr>
      <w:rFonts w:ascii="Tahoma" w:hAnsi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styleId="CommentReference">
    <w:name w:val="annotation reference"/>
    <w:basedOn w:val="DefaultParagraphFont"/>
    <w:semiHidden/>
    <w:unhideWhenUsed/>
    <w:rsid w:val="000549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494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5494C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494C"/>
    <w:rPr>
      <w:rFonts w:ascii="Arial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7f4fe5ba-0e9c-43fa-b7dd-de1717dc009a">false</PGSDocumentType>
    <PGSAssociatedRequest xmlns="7f4fe5ba-0e9c-43fa-b7dd-de1717dc009a" xsi:nil="true"/>
    <PGSFolio xmlns="7f4fe5ba-0e9c-43fa-b7dd-de1717dc009a" xsi:nil="true"/>
    <PGSBat xmlns="7f4fe5ba-0e9c-43fa-b7dd-de1717dc009a">false</PGSBat>
    <PGSTitle xmlns="7f4fe5ba-0e9c-43fa-b7dd-de1717dc009a" xsi:nil="true"/>
    <PGSRequestAuthor xmlns="7f4fe5ba-0e9c-43fa-b7dd-de1717dc009a" xsi:nil="true"/>
    <PGSDirectPublication xmlns="7f4fe5ba-0e9c-43fa-b7dd-de1717dc009a">false</PGSDirectPublication>
    <PGSRequester xmlns="7f4fe5ba-0e9c-43fa-b7dd-de1717dc009a" xsi:nil="true"/>
    <PGSWordCount xmlns="7f4fe5ba-0e9c-43fa-b7dd-de1717dc009a" xsi:nil="true"/>
    <PGSOriginalLanguage xmlns="7f4fe5ba-0e9c-43fa-b7dd-de1717dc00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CD69D27DBA32D944BA76E93CEC96EA19" ma:contentTypeVersion="0" ma:contentTypeDescription="Production document" ma:contentTypeScope="" ma:versionID="dab53e6c686e0f9c2967db8f5eb54ccd">
  <xsd:schema xmlns:xsd="http://www.w3.org/2001/XMLSchema" xmlns:xs="http://www.w3.org/2001/XMLSchema" xmlns:p="http://schemas.microsoft.com/office/2006/metadata/properties" xmlns:ns2="7f4fe5ba-0e9c-43fa-b7dd-de1717dc009a" targetNamespace="http://schemas.microsoft.com/office/2006/metadata/properties" ma:root="true" ma:fieldsID="5ce34a3a38aa0e1957dae51d4753f52e" ns2:_="">
    <xsd:import namespace="7f4fe5ba-0e9c-43fa-b7dd-de1717dc009a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e5ba-0e9c-43fa-b7dd-de1717dc009a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19179-F2E2-4F2B-9BE2-1FBFE31F9F7D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2.xml><?xml version="1.0" encoding="utf-8"?>
<ds:datastoreItem xmlns:ds="http://schemas.openxmlformats.org/officeDocument/2006/customXml" ds:itemID="{B78952BB-DF2E-4581-ACDE-9B64148A6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862EF-F810-4372-813E-F357DF1DF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A60F5-D4A7-4AFA-8766-5FB4DBCD5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fe5ba-0e9c-43fa-b7dd-de1717dc0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annex.dotx</Template>
  <TotalTime>9</TotalTime>
  <Pages>1</Pages>
  <Words>66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PITAF</vt:lpstr>
      <vt:lpstr>X</vt:lpstr>
    </vt:vector>
  </TitlesOfParts>
  <Company>Union postal universelle (UPU)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PITAF</dc:title>
  <dc:creator>ihab ZAGHLOUL</dc:creator>
  <cp:lastModifiedBy>SAYED sherouk</cp:lastModifiedBy>
  <cp:revision>7</cp:revision>
  <cp:lastPrinted>2009-02-19T13:40:00Z</cp:lastPrinted>
  <dcterms:created xsi:type="dcterms:W3CDTF">2025-07-02T11:34:00Z</dcterms:created>
  <dcterms:modified xsi:type="dcterms:W3CDTF">2025-07-04T06:55:00Z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0x010100058EFBD0D35E49E793D404E779D0CFC200CD69D27DBA32D944BA76E93CEC96EA19</vt:lpwstr>
  </property>
  <property fmtid="{D5CDD505-2E9C-101B-9397-08002B2CF9AE}" pid="3" name="_dlc_DocIdItemGuid">
    <vt:lpwstr>51a1ca91-2e95-4aac-844d-36660056596c</vt:lpwstr>
  </property>
</Properties>
</file>