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1EF25" w14:textId="77777777" w:rsidR="00B00E04" w:rsidRPr="00BA4F60" w:rsidRDefault="00B00E04" w:rsidP="000F1A87">
      <w:pPr>
        <w:pStyle w:val="0Textedebase"/>
        <w:spacing w:line="240" w:lineRule="atLeast"/>
        <w:ind w:left="1418" w:hanging="1418"/>
        <w:jc w:val="left"/>
        <w:rPr>
          <w:rFonts w:cs="Arial"/>
          <w:sz w:val="24"/>
          <w:szCs w:val="24"/>
          <w:lang w:eastAsia="zh-CN"/>
        </w:rPr>
      </w:pPr>
    </w:p>
    <w:p w14:paraId="3CA052CE" w14:textId="77777777" w:rsidR="00B00E04" w:rsidRDefault="00B00E04" w:rsidP="000F1A87">
      <w:pPr>
        <w:pStyle w:val="0Textedebase"/>
        <w:spacing w:line="240" w:lineRule="atLeast"/>
        <w:ind w:left="1418" w:hanging="1418"/>
        <w:jc w:val="left"/>
        <w:rPr>
          <w:rFonts w:cs="Arial"/>
          <w:sz w:val="24"/>
          <w:szCs w:val="24"/>
          <w:lang w:eastAsia="zh-CN"/>
        </w:rPr>
      </w:pPr>
    </w:p>
    <w:p w14:paraId="6D95861F" w14:textId="77777777" w:rsidR="00B00E04" w:rsidRPr="00BA4F60" w:rsidRDefault="00B00E04" w:rsidP="000F1A87">
      <w:pPr>
        <w:pStyle w:val="0Textedebase"/>
        <w:spacing w:line="240" w:lineRule="atLeast"/>
        <w:ind w:left="1418" w:hanging="1418"/>
        <w:jc w:val="left"/>
        <w:rPr>
          <w:rFonts w:cs="Arial"/>
          <w:sz w:val="24"/>
          <w:szCs w:val="24"/>
          <w:lang w:eastAsia="zh-CN"/>
        </w:rPr>
      </w:pPr>
    </w:p>
    <w:p w14:paraId="1C473293" w14:textId="77777777" w:rsidR="00B00E04" w:rsidRPr="00BA4F60" w:rsidRDefault="00B00E04" w:rsidP="000F1A87">
      <w:pPr>
        <w:pStyle w:val="0Textedebase"/>
        <w:spacing w:line="240" w:lineRule="atLeast"/>
        <w:ind w:left="1418" w:hanging="1418"/>
        <w:jc w:val="left"/>
        <w:rPr>
          <w:rFonts w:cs="Arial"/>
          <w:sz w:val="24"/>
          <w:szCs w:val="24"/>
          <w:lang w:eastAsia="zh-CN"/>
        </w:rPr>
      </w:pPr>
    </w:p>
    <w:p w14:paraId="726BE6AC" w14:textId="77777777" w:rsidR="00B00E04" w:rsidRPr="00BA4F60" w:rsidRDefault="00B00E04" w:rsidP="000F1A87">
      <w:pPr>
        <w:pStyle w:val="0Textedebase"/>
        <w:spacing w:line="240" w:lineRule="atLeast"/>
        <w:ind w:left="1418" w:hanging="1418"/>
        <w:jc w:val="left"/>
        <w:rPr>
          <w:rFonts w:cs="Arial"/>
          <w:sz w:val="24"/>
          <w:szCs w:val="24"/>
          <w:lang w:eastAsia="zh-CN"/>
        </w:rPr>
      </w:pPr>
    </w:p>
    <w:p w14:paraId="307D5A4F" w14:textId="77777777" w:rsidR="00B00E04" w:rsidRPr="00BA4F60" w:rsidRDefault="00B00E04" w:rsidP="000F1A87">
      <w:pPr>
        <w:pStyle w:val="0Textedebase"/>
        <w:spacing w:line="240" w:lineRule="atLeast"/>
        <w:ind w:left="1418" w:hanging="1418"/>
        <w:jc w:val="left"/>
        <w:rPr>
          <w:rFonts w:cs="Arial"/>
          <w:sz w:val="24"/>
          <w:szCs w:val="24"/>
          <w:lang w:eastAsia="zh-CN"/>
        </w:rPr>
      </w:pPr>
    </w:p>
    <w:p w14:paraId="53FE4C0F" w14:textId="77777777" w:rsidR="00B00E04" w:rsidRPr="00BA4F60" w:rsidRDefault="00B00E04" w:rsidP="000F1A87">
      <w:pPr>
        <w:pStyle w:val="0Textedebase"/>
        <w:spacing w:line="240" w:lineRule="atLeast"/>
        <w:ind w:left="1418" w:hanging="1418"/>
        <w:jc w:val="left"/>
        <w:rPr>
          <w:rFonts w:cs="Arial"/>
          <w:sz w:val="24"/>
          <w:szCs w:val="24"/>
          <w:lang w:eastAsia="zh-CN"/>
        </w:rPr>
      </w:pPr>
    </w:p>
    <w:p w14:paraId="5DB8C09A" w14:textId="77777777" w:rsidR="00B00E04" w:rsidRPr="00BA4F60" w:rsidRDefault="00B00E04" w:rsidP="000F1A87">
      <w:pPr>
        <w:pStyle w:val="0Textedebase"/>
        <w:spacing w:line="240" w:lineRule="atLeast"/>
        <w:ind w:left="1418" w:hanging="1418"/>
        <w:jc w:val="left"/>
        <w:rPr>
          <w:rFonts w:cs="Arial"/>
          <w:sz w:val="24"/>
          <w:szCs w:val="24"/>
          <w:lang w:eastAsia="zh-CN"/>
        </w:rPr>
      </w:pPr>
    </w:p>
    <w:p w14:paraId="13C1B608" w14:textId="77777777" w:rsidR="00B00E04" w:rsidRPr="00BA4F60" w:rsidRDefault="00B00E04" w:rsidP="000F1A87">
      <w:pPr>
        <w:pStyle w:val="0Textedebase"/>
        <w:spacing w:line="240" w:lineRule="atLeast"/>
        <w:ind w:left="1418" w:hanging="1418"/>
        <w:jc w:val="left"/>
        <w:rPr>
          <w:rFonts w:cs="Arial"/>
          <w:sz w:val="24"/>
          <w:szCs w:val="24"/>
          <w:lang w:eastAsia="zh-CN"/>
        </w:rPr>
      </w:pPr>
    </w:p>
    <w:p w14:paraId="0970FB78" w14:textId="77777777" w:rsidR="00B00E04" w:rsidRPr="00BA4F60" w:rsidRDefault="00B00E04" w:rsidP="000F1A87">
      <w:pPr>
        <w:pStyle w:val="0Textedebase"/>
        <w:spacing w:after="180" w:line="240" w:lineRule="atLeast"/>
        <w:ind w:left="1418" w:hanging="1418"/>
        <w:jc w:val="left"/>
        <w:rPr>
          <w:rFonts w:cs="Arial"/>
          <w:sz w:val="24"/>
          <w:szCs w:val="24"/>
          <w:lang w:eastAsia="zh-CN"/>
        </w:rPr>
      </w:pPr>
    </w:p>
    <w:p w14:paraId="4E6BE4AA" w14:textId="77777777" w:rsidR="00B00E04" w:rsidRPr="00BA4F60" w:rsidRDefault="00B00E04" w:rsidP="000F1A87">
      <w:pPr>
        <w:pStyle w:val="0Textedebase"/>
        <w:spacing w:line="240" w:lineRule="atLeast"/>
        <w:jc w:val="left"/>
        <w:rPr>
          <w:rFonts w:cs="Arial"/>
          <w:b/>
          <w:sz w:val="56"/>
          <w:szCs w:val="56"/>
        </w:rPr>
      </w:pPr>
      <w:r>
        <w:rPr>
          <w:b/>
          <w:sz w:val="56"/>
          <w:szCs w:val="56"/>
        </w:rPr>
        <w:t>Appel de projets pour 2025</w:t>
      </w:r>
    </w:p>
    <w:p w14:paraId="1C301ED5" w14:textId="77777777" w:rsidR="00B00E04" w:rsidRPr="00BA4F60" w:rsidRDefault="00B00E04" w:rsidP="000F1A87">
      <w:pPr>
        <w:pStyle w:val="0Textedebase"/>
        <w:spacing w:line="240" w:lineRule="atLeast"/>
        <w:jc w:val="left"/>
        <w:rPr>
          <w:rFonts w:cs="Arial"/>
          <w:sz w:val="24"/>
          <w:szCs w:val="24"/>
          <w:lang w:eastAsia="zh-CN"/>
        </w:rPr>
      </w:pPr>
    </w:p>
    <w:p w14:paraId="7D1B9962" w14:textId="77777777" w:rsidR="00B00E04" w:rsidRPr="00BA4F60" w:rsidRDefault="00B00E04" w:rsidP="000F1A87">
      <w:pPr>
        <w:pStyle w:val="0Textedebase"/>
        <w:spacing w:line="240" w:lineRule="atLeast"/>
        <w:jc w:val="left"/>
        <w:rPr>
          <w:rFonts w:cs="Arial"/>
          <w:sz w:val="24"/>
          <w:szCs w:val="24"/>
          <w:lang w:eastAsia="zh-CN"/>
        </w:rPr>
      </w:pPr>
    </w:p>
    <w:p w14:paraId="26D833CC" w14:textId="77777777" w:rsidR="00B00E04" w:rsidRPr="00E42C1C" w:rsidRDefault="00B00E04" w:rsidP="000F1A87">
      <w:pPr>
        <w:rPr>
          <w:rFonts w:cs="Arial"/>
          <w:b/>
          <w:bCs/>
          <w:sz w:val="32"/>
          <w:szCs w:val="32"/>
        </w:rPr>
      </w:pPr>
      <w:r>
        <w:rPr>
          <w:b/>
          <w:bCs/>
          <w:sz w:val="32"/>
          <w:szCs w:val="32"/>
        </w:rPr>
        <w:t xml:space="preserve">Mécanisme </w:t>
      </w:r>
      <w:bookmarkStart w:id="0" w:name="_Hlk203403246"/>
      <w:r>
        <w:rPr>
          <w:b/>
          <w:bCs/>
          <w:sz w:val="32"/>
          <w:szCs w:val="32"/>
        </w:rPr>
        <w:t xml:space="preserve">d’assistance technique au financement inclusif postal </w:t>
      </w:r>
      <w:bookmarkEnd w:id="0"/>
      <w:r>
        <w:rPr>
          <w:b/>
          <w:bCs/>
          <w:sz w:val="32"/>
          <w:szCs w:val="32"/>
        </w:rPr>
        <w:t>de l’UPU (FITAF 2)</w:t>
      </w:r>
    </w:p>
    <w:p w14:paraId="4F47E1DD" w14:textId="77777777" w:rsidR="00B00E04" w:rsidRPr="00974D01" w:rsidRDefault="00B00E04" w:rsidP="000F1A87">
      <w:pPr>
        <w:tabs>
          <w:tab w:val="left" w:pos="6000"/>
        </w:tabs>
        <w:spacing w:before="120"/>
        <w:rPr>
          <w:rFonts w:cs="Arial"/>
          <w:sz w:val="32"/>
          <w:szCs w:val="32"/>
        </w:rPr>
      </w:pPr>
    </w:p>
    <w:p w14:paraId="13B0C370" w14:textId="77777777" w:rsidR="00B00E04" w:rsidRPr="00BA4F60" w:rsidRDefault="00B00E04" w:rsidP="000F1A87">
      <w:pPr>
        <w:tabs>
          <w:tab w:val="left" w:pos="6000"/>
        </w:tabs>
        <w:spacing w:before="120"/>
        <w:rPr>
          <w:rFonts w:cs="Arial"/>
          <w:b/>
          <w:bCs/>
          <w:sz w:val="32"/>
          <w:szCs w:val="32"/>
        </w:rPr>
      </w:pPr>
      <w:r>
        <w:rPr>
          <w:b/>
          <w:bCs/>
          <w:sz w:val="32"/>
          <w:szCs w:val="32"/>
        </w:rPr>
        <w:t>Étendre les capacités financières inclusives numériques postales mondiales pour faire progresser l’inclusion financière</w:t>
      </w:r>
    </w:p>
    <w:p w14:paraId="7F466598" w14:textId="77777777" w:rsidR="00B00E04" w:rsidRPr="00BA4F60" w:rsidRDefault="00B00E04" w:rsidP="000F1A87">
      <w:pPr>
        <w:spacing w:before="120"/>
        <w:rPr>
          <w:rFonts w:cs="Arial"/>
          <w:sz w:val="32"/>
          <w:szCs w:val="32"/>
        </w:rPr>
      </w:pPr>
    </w:p>
    <w:p w14:paraId="686F4B15" w14:textId="77777777" w:rsidR="00B00E04" w:rsidRPr="00BA4F60" w:rsidRDefault="00B00E04" w:rsidP="00597198">
      <w:pPr>
        <w:pageBreakBefore/>
        <w:tabs>
          <w:tab w:val="right" w:pos="9631"/>
        </w:tabs>
        <w:rPr>
          <w:rFonts w:cs="Arial"/>
        </w:rPr>
      </w:pPr>
      <w:r>
        <w:rPr>
          <w:b/>
        </w:rPr>
        <w:lastRenderedPageBreak/>
        <w:t>Table des matières</w:t>
      </w:r>
      <w:r>
        <w:rPr>
          <w:b/>
        </w:rPr>
        <w:tab/>
      </w:r>
      <w:r>
        <w:t>Page</w:t>
      </w:r>
    </w:p>
    <w:p w14:paraId="10A04404" w14:textId="77777777" w:rsidR="00B00E04" w:rsidRPr="00BA4F60" w:rsidRDefault="00B00E04" w:rsidP="00B00E04"/>
    <w:p w14:paraId="6F5E09B1" w14:textId="77777777" w:rsidR="00B00E04" w:rsidRPr="00C13679" w:rsidRDefault="00B00E04" w:rsidP="00B00E04">
      <w:pPr>
        <w:tabs>
          <w:tab w:val="right" w:pos="9639"/>
        </w:tabs>
        <w:ind w:left="567" w:hanging="567"/>
      </w:pPr>
      <w:r w:rsidRPr="00C13679">
        <w:t>1.</w:t>
      </w:r>
      <w:r w:rsidRPr="00C13679">
        <w:tab/>
        <w:t>Contexte</w:t>
      </w:r>
      <w:r w:rsidRPr="00C13679">
        <w:tab/>
        <w:t>3</w:t>
      </w:r>
    </w:p>
    <w:p w14:paraId="05A6CD01" w14:textId="77777777" w:rsidR="00B00E04" w:rsidRPr="00C13679" w:rsidRDefault="00B00E04" w:rsidP="00B00E04">
      <w:pPr>
        <w:tabs>
          <w:tab w:val="right" w:pos="9639"/>
        </w:tabs>
      </w:pPr>
    </w:p>
    <w:p w14:paraId="6B136305" w14:textId="19C7F6E8" w:rsidR="00B00E04" w:rsidRPr="00C13679" w:rsidRDefault="00B00E04" w:rsidP="00B00E04">
      <w:pPr>
        <w:tabs>
          <w:tab w:val="right" w:pos="9639"/>
        </w:tabs>
        <w:ind w:left="567" w:hanging="567"/>
      </w:pPr>
      <w:r w:rsidRPr="00C13679">
        <w:t>2.</w:t>
      </w:r>
      <w:r w:rsidRPr="00C13679">
        <w:tab/>
        <w:t>Objectifs et portée des projets admissibles</w:t>
      </w:r>
      <w:r w:rsidRPr="00C13679">
        <w:tab/>
      </w:r>
      <w:r w:rsidR="00760297">
        <w:t>3</w:t>
      </w:r>
    </w:p>
    <w:p w14:paraId="61CAB7D7" w14:textId="77777777" w:rsidR="00B00E04" w:rsidRPr="00C13679" w:rsidRDefault="00B00E04" w:rsidP="00B00E04">
      <w:pPr>
        <w:tabs>
          <w:tab w:val="right" w:pos="9639"/>
        </w:tabs>
      </w:pPr>
    </w:p>
    <w:p w14:paraId="38FBAB37" w14:textId="77777777" w:rsidR="00B00E04" w:rsidRPr="00C13679" w:rsidRDefault="00B00E04" w:rsidP="00B00E04">
      <w:pPr>
        <w:tabs>
          <w:tab w:val="right" w:pos="9639"/>
        </w:tabs>
        <w:ind w:left="567" w:hanging="567"/>
      </w:pPr>
      <w:r w:rsidRPr="00C13679">
        <w:t>3.</w:t>
      </w:r>
      <w:r w:rsidRPr="00C13679">
        <w:tab/>
        <w:t>Évaluation et sélection des propositions</w:t>
      </w:r>
      <w:r w:rsidRPr="00C13679">
        <w:tab/>
        <w:t>4</w:t>
      </w:r>
    </w:p>
    <w:p w14:paraId="29E43D57" w14:textId="77777777" w:rsidR="00B00E04" w:rsidRPr="00C13679" w:rsidRDefault="00B00E04" w:rsidP="00B00E04">
      <w:pPr>
        <w:tabs>
          <w:tab w:val="right" w:pos="9639"/>
        </w:tabs>
      </w:pPr>
    </w:p>
    <w:p w14:paraId="3411FCB6" w14:textId="083FB0D4" w:rsidR="00B00E04" w:rsidRPr="00C13679" w:rsidRDefault="00B00E04" w:rsidP="00B00E04">
      <w:pPr>
        <w:tabs>
          <w:tab w:val="right" w:pos="9639"/>
        </w:tabs>
        <w:ind w:left="567" w:hanging="567"/>
      </w:pPr>
      <w:r w:rsidRPr="00C13679">
        <w:t>4.</w:t>
      </w:r>
      <w:r w:rsidRPr="00C13679">
        <w:tab/>
        <w:t>Estimation des coûts de mise en œuvre du projet</w:t>
      </w:r>
      <w:r w:rsidRPr="00C13679">
        <w:tab/>
      </w:r>
      <w:r w:rsidR="007D06BD" w:rsidRPr="00C13679">
        <w:t>5</w:t>
      </w:r>
    </w:p>
    <w:p w14:paraId="31189E3F" w14:textId="77777777" w:rsidR="00B00E04" w:rsidRPr="00C13679" w:rsidRDefault="00B00E04" w:rsidP="00B00E04">
      <w:pPr>
        <w:tabs>
          <w:tab w:val="right" w:pos="9639"/>
        </w:tabs>
      </w:pPr>
    </w:p>
    <w:p w14:paraId="187B9F58" w14:textId="77777777" w:rsidR="00B00E04" w:rsidRPr="00C13679" w:rsidRDefault="00B00E04" w:rsidP="00B00E04">
      <w:pPr>
        <w:tabs>
          <w:tab w:val="right" w:pos="9639"/>
        </w:tabs>
        <w:ind w:left="567" w:hanging="567"/>
      </w:pPr>
      <w:r w:rsidRPr="00C13679">
        <w:t>5.</w:t>
      </w:r>
      <w:r w:rsidRPr="00C13679">
        <w:tab/>
        <w:t>Procédure de demande</w:t>
      </w:r>
      <w:r w:rsidRPr="00C13679">
        <w:tab/>
        <w:t>5</w:t>
      </w:r>
    </w:p>
    <w:p w14:paraId="599CBF3F" w14:textId="77777777" w:rsidR="00B00E04" w:rsidRPr="00BA4F60" w:rsidRDefault="00B00E04" w:rsidP="00B00E04"/>
    <w:p w14:paraId="6D61AA47" w14:textId="77777777" w:rsidR="00B00E04" w:rsidRPr="00BA4F60" w:rsidRDefault="00B00E04" w:rsidP="00B00E04"/>
    <w:p w14:paraId="56CE5031" w14:textId="77777777" w:rsidR="00B00E04" w:rsidRPr="00BA4F60" w:rsidRDefault="00B00E04" w:rsidP="00B00E04">
      <w:pPr>
        <w:tabs>
          <w:tab w:val="right" w:pos="9631"/>
        </w:tabs>
        <w:rPr>
          <w:rFonts w:cs="Arial"/>
        </w:rPr>
      </w:pPr>
      <w:r>
        <w:rPr>
          <w:b/>
        </w:rPr>
        <w:t>Annexes</w:t>
      </w:r>
    </w:p>
    <w:p w14:paraId="43E73EF1" w14:textId="77777777" w:rsidR="00B00E04" w:rsidRPr="00BA4F60" w:rsidRDefault="00B00E04" w:rsidP="00B00E04"/>
    <w:p w14:paraId="196686E9" w14:textId="77777777" w:rsidR="00B00E04" w:rsidRPr="00BA4F60" w:rsidRDefault="00B00E04" w:rsidP="00B00E04">
      <w:pPr>
        <w:tabs>
          <w:tab w:val="right" w:pos="9639"/>
        </w:tabs>
      </w:pPr>
      <w:r>
        <w:t>Annexe 1 – Formule de proposition de projet</w:t>
      </w:r>
    </w:p>
    <w:p w14:paraId="0D524694" w14:textId="77777777" w:rsidR="00B00E04" w:rsidRPr="00BA4F60" w:rsidRDefault="00B00E04" w:rsidP="00B00E04">
      <w:pPr>
        <w:tabs>
          <w:tab w:val="right" w:pos="9639"/>
        </w:tabs>
      </w:pPr>
    </w:p>
    <w:p w14:paraId="286A5C81" w14:textId="77777777" w:rsidR="00B00E04" w:rsidRPr="001D222E" w:rsidRDefault="00B00E04" w:rsidP="00B00E04">
      <w:pPr>
        <w:tabs>
          <w:tab w:val="right" w:pos="9639"/>
        </w:tabs>
      </w:pPr>
      <w:r>
        <w:t>Annexe 2 – Formule de contribution financière</w:t>
      </w:r>
    </w:p>
    <w:p w14:paraId="1E871177" w14:textId="77777777" w:rsidR="00C13679" w:rsidRDefault="00C13679">
      <w:pPr>
        <w:spacing w:line="240" w:lineRule="auto"/>
      </w:pPr>
    </w:p>
    <w:p w14:paraId="039A80CB" w14:textId="77777777" w:rsidR="00B00E04" w:rsidRPr="00E42C1C" w:rsidRDefault="00B00E04" w:rsidP="00597198">
      <w:pPr>
        <w:pageBreakBefore/>
        <w:ind w:left="567" w:hanging="567"/>
        <w:rPr>
          <w:b/>
          <w:bCs/>
        </w:rPr>
      </w:pPr>
      <w:r>
        <w:rPr>
          <w:b/>
          <w:bCs/>
        </w:rPr>
        <w:lastRenderedPageBreak/>
        <w:t>1.</w:t>
      </w:r>
      <w:r>
        <w:rPr>
          <w:b/>
          <w:bCs/>
        </w:rPr>
        <w:tab/>
        <w:t>Contexte</w:t>
      </w:r>
    </w:p>
    <w:p w14:paraId="594BAEA8" w14:textId="77777777" w:rsidR="00B00E04" w:rsidRPr="00BA4F60" w:rsidRDefault="00B00E04" w:rsidP="00B00E04">
      <w:pPr>
        <w:pStyle w:val="0Textedebase"/>
        <w:spacing w:line="240" w:lineRule="atLeast"/>
      </w:pPr>
    </w:p>
    <w:p w14:paraId="477844BD" w14:textId="719CF72D" w:rsidR="00B00E04" w:rsidRPr="00BA4F60" w:rsidRDefault="00B00E04" w:rsidP="00B00E04">
      <w:pPr>
        <w:pStyle w:val="0Textedebase"/>
        <w:spacing w:line="240" w:lineRule="atLeast"/>
      </w:pPr>
      <w:r>
        <w:t>À travers le monde, les réseaux postaux représentent une passerelle importante de facilitation des services financiers numériques, qui font progresser l’inclusion financière et permettent de toucher une base de clients postaux divers, mal desservis et exclus des services bancaires qui ont une forte affinité avec la communauté postale. Lorsqu’ils disposent des produits, technologies et partenariats adaptés, les opérateurs désignés peu</w:t>
      </w:r>
      <w:r>
        <w:softHyphen/>
        <w:t>vent améliorer leurs capacités en matière d’inclusion financière pour proposer des solutions de paiement, d’épargne, d’assurance inclusive et de microfinance.</w:t>
      </w:r>
    </w:p>
    <w:p w14:paraId="6BF1DB1A" w14:textId="77777777" w:rsidR="00B00E04" w:rsidRPr="00BA4F60" w:rsidRDefault="00B00E04" w:rsidP="00B00E04">
      <w:pPr>
        <w:pStyle w:val="0Textedebase"/>
        <w:spacing w:line="240" w:lineRule="atLeast"/>
      </w:pPr>
    </w:p>
    <w:p w14:paraId="252E8966" w14:textId="5F168F3F" w:rsidR="00B00E04" w:rsidRPr="008F66EB" w:rsidRDefault="00B00E04" w:rsidP="00B00E04">
      <w:pPr>
        <w:pStyle w:val="0Textedebase"/>
        <w:spacing w:line="240" w:lineRule="atLeast"/>
      </w:pPr>
      <w:r w:rsidRPr="00B00E04">
        <w:rPr>
          <w:spacing w:val="-2"/>
        </w:rPr>
        <w:t>Cette capacité stratégique et unique du réseau postal pour atteindre la clientèle mal desservie permet le déploie</w:t>
      </w:r>
      <w:r w:rsidRPr="00B00E04">
        <w:rPr>
          <w:spacing w:val="-2"/>
        </w:rPr>
        <w:softHyphen/>
      </w:r>
      <w:r>
        <w:t xml:space="preserve">ment de modèles de participation à l’inclusion financière en collaboration avec les acteurs du secteur privé et de l’écosystème local. Le pouvoir de la collaboration public–privé pour concrétiser des objectifs d’inclusion financière communs est immense. Grâce à ce type de partenariats, les opérateurs désignés ont accès à des </w:t>
      </w:r>
      <w:r w:rsidRPr="00C13679">
        <w:rPr>
          <w:spacing w:val="-2"/>
        </w:rPr>
        <w:t>solutions et outils innovants qui les aident à contribuer aux objectifs nationaux en matière d’inclusion financière.</w:t>
      </w:r>
      <w:r w:rsidR="00C13679">
        <w:br/>
      </w:r>
    </w:p>
    <w:p w14:paraId="0559CF3F" w14:textId="46F3674A" w:rsidR="00B00E04" w:rsidRPr="00C224F4" w:rsidRDefault="00B00E04" w:rsidP="00B00E04">
      <w:pPr>
        <w:pStyle w:val="0Textedebase"/>
        <w:spacing w:line="240" w:lineRule="atLeast"/>
      </w:pPr>
      <w:r>
        <w:t>À la suite de la mise en place du mécanisme d’assistance technique pour l’inclusion financière (FITAF)</w:t>
      </w:r>
      <w:r w:rsidRPr="006E4F60">
        <w:t xml:space="preserve"> </w:t>
      </w:r>
      <w:r>
        <w:t>de l’UPU, réalisé en 2023 en collaboration avec Visa et Gates Foundation, l’UPU a créé un nouveau programme en partenariat avec Visa Europe Limited: le mécanisme d’assistance technique au financement inclusif postal (FITAF 2). Ce nouveau programme visera à promouvoir le rôle des opérateurs désignés pour fournir des solutions et des capacités solutions financières inclusives adaptées à leur clientèle postale. Visa participera au programme à titre consultatif pour transmettre les dernières innovations et informations ainsi que de nou</w:t>
      </w:r>
      <w:r>
        <w:softHyphen/>
        <w:t>veaux modèles d’expansion de services financiers numériques inclusifs.</w:t>
      </w:r>
    </w:p>
    <w:p w14:paraId="61705869" w14:textId="77777777" w:rsidR="00B00E04" w:rsidRPr="008F66EB" w:rsidRDefault="00B00E04" w:rsidP="00B00E04">
      <w:pPr>
        <w:pStyle w:val="0Textedebase"/>
        <w:spacing w:line="240" w:lineRule="atLeast"/>
      </w:pPr>
    </w:p>
    <w:p w14:paraId="4EC5985D" w14:textId="0241E388" w:rsidR="00B00E04" w:rsidRPr="00E42C1C" w:rsidRDefault="00B00E04" w:rsidP="00B00E04">
      <w:pPr>
        <w:pStyle w:val="0Textedebase"/>
        <w:spacing w:line="240" w:lineRule="atLeast"/>
      </w:pPr>
      <w:r w:rsidRPr="00C13679">
        <w:rPr>
          <w:spacing w:val="-2"/>
        </w:rPr>
        <w:t>L’UPU, par le biais du FITAF 2, offre aux opérateurs désignés de ses Pays-membres la possibilité de soumettre</w:t>
      </w:r>
      <w:r>
        <w:t xml:space="preserve"> une candidature pour bénéficier de programmes et de projets d’inclusion financière. Ces projets visent à sou</w:t>
      </w:r>
      <w:r w:rsidR="00C13679">
        <w:softHyphen/>
      </w:r>
      <w:r>
        <w:t>tenir les opérateurs désignés participants pour réaliser une évaluation complète de leurs niveaux actuels de préparation à l’inclusion financière dans le but d’améliorer leurs capacités de financement inclusif numérique.</w:t>
      </w:r>
      <w:r w:rsidR="00C13679">
        <w:br/>
      </w:r>
    </w:p>
    <w:p w14:paraId="0D72FB42" w14:textId="77777777" w:rsidR="00B00E04" w:rsidRPr="00BA4F60" w:rsidRDefault="00B00E04" w:rsidP="00B00E04">
      <w:pPr>
        <w:pStyle w:val="0Textedebase"/>
        <w:spacing w:line="240" w:lineRule="atLeast"/>
      </w:pPr>
      <w:r>
        <w:t>Voici les résultats attendus d’une participation des opérateurs désignés au FITAF 2:</w:t>
      </w:r>
    </w:p>
    <w:p w14:paraId="0F1DD3CB" w14:textId="34C280F2" w:rsidR="00B00E04" w:rsidRPr="008F66EB" w:rsidRDefault="0083649A" w:rsidP="0083649A">
      <w:pPr>
        <w:pStyle w:val="0Textedebase"/>
        <w:spacing w:before="120" w:line="240" w:lineRule="atLeast"/>
        <w:ind w:left="567" w:hanging="567"/>
      </w:pPr>
      <w:r>
        <w:t>–</w:t>
      </w:r>
      <w:r>
        <w:tab/>
      </w:r>
      <w:r w:rsidR="00B00E04" w:rsidRPr="00C13679">
        <w:rPr>
          <w:spacing w:val="-2"/>
        </w:rPr>
        <w:t>Évaluation complète du niveau de préparation au financement inclusif numérique de l’opérateur désigné.</w:t>
      </w:r>
    </w:p>
    <w:p w14:paraId="0652CACC" w14:textId="24D981A9" w:rsidR="00B00E04" w:rsidRPr="00BA4F60" w:rsidRDefault="0083649A" w:rsidP="0083649A">
      <w:pPr>
        <w:pStyle w:val="0Textedebase"/>
        <w:spacing w:before="120" w:line="240" w:lineRule="atLeast"/>
        <w:ind w:left="567" w:hanging="567"/>
      </w:pPr>
      <w:r>
        <w:t>–</w:t>
      </w:r>
      <w:r>
        <w:tab/>
      </w:r>
      <w:r w:rsidR="00B00E04" w:rsidRPr="00C13679">
        <w:rPr>
          <w:spacing w:val="-2"/>
        </w:rPr>
        <w:t>Identification des produits et solutions nécessaires pour stimuler et/ou améliorer les solutions financières</w:t>
      </w:r>
      <w:r w:rsidR="00B00E04">
        <w:t xml:space="preserve"> </w:t>
      </w:r>
      <w:r w:rsidR="00B00E04" w:rsidRPr="00C13679">
        <w:rPr>
          <w:spacing w:val="-2"/>
        </w:rPr>
        <w:t>inclusives numériques nouvelles ou existantes, en assurant une diversification pour permettre l’évolutivité.</w:t>
      </w:r>
    </w:p>
    <w:p w14:paraId="313AA27E" w14:textId="243BFCAF" w:rsidR="00B00E04" w:rsidRPr="008F66EB" w:rsidRDefault="0083649A" w:rsidP="0083649A">
      <w:pPr>
        <w:pStyle w:val="0Textedebase"/>
        <w:spacing w:before="120" w:line="240" w:lineRule="atLeast"/>
        <w:ind w:left="567" w:hanging="567"/>
      </w:pPr>
      <w:r>
        <w:t>–</w:t>
      </w:r>
      <w:r>
        <w:tab/>
      </w:r>
      <w:r w:rsidR="00B00E04">
        <w:t>Recommandations, sur la base de l’évaluation du marché réalisée, en vue de l’adoption des modèles opérationnels et de partenariats optimaux en matière de financement numérique à intégrer aux plans stratégiques de croissance postale.</w:t>
      </w:r>
    </w:p>
    <w:p w14:paraId="31787FF6" w14:textId="2C598D35" w:rsidR="00B00E04" w:rsidRPr="008F66EB" w:rsidRDefault="0083649A" w:rsidP="0083649A">
      <w:pPr>
        <w:pStyle w:val="0Textedebase"/>
        <w:spacing w:before="120" w:line="240" w:lineRule="atLeast"/>
        <w:ind w:left="567" w:hanging="567"/>
      </w:pPr>
      <w:r>
        <w:t>–</w:t>
      </w:r>
      <w:r>
        <w:tab/>
      </w:r>
      <w:r w:rsidR="00B00E04">
        <w:t>Aptitude de l’opérateur désigné à étendre son offre actuelle de solutions au moyen d’appels d’offres pour de nouveaux produits et solutions ou par le biais de la facilitation de partenariats pouvant améliorer les capacités financières inclusives de l’opérateur désigné, conformément aux réglementations locales en matière d’achats.</w:t>
      </w:r>
    </w:p>
    <w:p w14:paraId="76D1BF14" w14:textId="028AF69C" w:rsidR="00B00E04" w:rsidRPr="008F66EB" w:rsidRDefault="0083649A" w:rsidP="0083649A">
      <w:pPr>
        <w:pStyle w:val="0Textedebase"/>
        <w:spacing w:before="120" w:line="240" w:lineRule="atLeast"/>
        <w:ind w:left="567" w:hanging="567"/>
      </w:pPr>
      <w:r>
        <w:t>–</w:t>
      </w:r>
      <w:r>
        <w:tab/>
      </w:r>
      <w:r w:rsidR="00B00E04">
        <w:t>Assistance et soutien à l’opérateur désigné pour contribuer aux priorités nationales en matière d’inclu</w:t>
      </w:r>
      <w:r w:rsidR="00B00E04">
        <w:softHyphen/>
        <w:t>sion financière.</w:t>
      </w:r>
    </w:p>
    <w:p w14:paraId="679C63BD" w14:textId="77777777" w:rsidR="00B00E04" w:rsidRPr="008F66EB" w:rsidRDefault="00B00E04" w:rsidP="00B00E04">
      <w:pPr>
        <w:pStyle w:val="0Textedebase"/>
        <w:spacing w:line="240" w:lineRule="atLeast"/>
      </w:pPr>
    </w:p>
    <w:p w14:paraId="75AB4510" w14:textId="349D6C68" w:rsidR="00B00E04" w:rsidRPr="00BA4F60" w:rsidRDefault="00B00E04" w:rsidP="00B00E04">
      <w:pPr>
        <w:pStyle w:val="0Textedebase"/>
        <w:spacing w:line="240" w:lineRule="atLeast"/>
      </w:pPr>
      <w:r>
        <w:t>Pour assurer la bonne mise en œuvre du programme et obtenir les effets souhaités, les experts de Visa et ses représentants locaux travailleront avec l’équipe de projet du FITAF 2 et les opérateurs désignés tout au long du cycle de vie du projet pour transmettre les pratiques exemplaires mondiales et les informations au niveau local. Pour les opérateurs désignés participants, les résultats du projet prévus incluent la création de plans d’extension du financement inclusif postal et du cadre de travail associé, y compris des modèles de déploie</w:t>
      </w:r>
      <w:r>
        <w:softHyphen/>
        <w:t>ment, la diversification des produits/solutions, des options de partenariat, une orientation sur le segment de clientèle, l’éducation de la clientèle et des modèles d’utilisation.</w:t>
      </w:r>
    </w:p>
    <w:p w14:paraId="46857D3C" w14:textId="77777777" w:rsidR="00B00E04" w:rsidRDefault="00B00E04" w:rsidP="00B00E04">
      <w:pPr>
        <w:pStyle w:val="0Textedebase"/>
        <w:spacing w:line="240" w:lineRule="atLeast"/>
      </w:pPr>
    </w:p>
    <w:p w14:paraId="0A223B8B" w14:textId="77777777" w:rsidR="00B00E04" w:rsidRPr="001D222E" w:rsidRDefault="00B00E04" w:rsidP="00B00E04">
      <w:pPr>
        <w:pStyle w:val="0Textedebase"/>
        <w:spacing w:line="240" w:lineRule="atLeast"/>
      </w:pPr>
    </w:p>
    <w:p w14:paraId="5E5307AE" w14:textId="77777777" w:rsidR="00B00E04" w:rsidRPr="00E42C1C" w:rsidRDefault="00B00E04" w:rsidP="00C13679">
      <w:pPr>
        <w:pStyle w:val="0Textedebase"/>
        <w:spacing w:line="240" w:lineRule="atLeast"/>
        <w:ind w:left="567" w:hanging="567"/>
        <w:rPr>
          <w:b/>
          <w:bCs/>
        </w:rPr>
      </w:pPr>
      <w:r>
        <w:rPr>
          <w:b/>
          <w:bCs/>
        </w:rPr>
        <w:t>2.</w:t>
      </w:r>
      <w:r>
        <w:rPr>
          <w:b/>
          <w:bCs/>
        </w:rPr>
        <w:tab/>
        <w:t>Objectifs et portée des projets admissibles</w:t>
      </w:r>
    </w:p>
    <w:p w14:paraId="325A834A" w14:textId="77777777" w:rsidR="00B00E04" w:rsidRPr="00BA4F60" w:rsidRDefault="00B00E04" w:rsidP="00B00E04">
      <w:pPr>
        <w:pStyle w:val="0Textedebase"/>
        <w:spacing w:line="240" w:lineRule="atLeast"/>
      </w:pPr>
    </w:p>
    <w:p w14:paraId="556B88FF" w14:textId="7DC6DCDD" w:rsidR="00B00E04" w:rsidRPr="00BA4F60" w:rsidRDefault="00B00E04" w:rsidP="00B00E04">
      <w:pPr>
        <w:pStyle w:val="0Textedebase"/>
        <w:spacing w:line="240" w:lineRule="atLeast"/>
      </w:pPr>
      <w:r w:rsidRPr="00B00E04">
        <w:rPr>
          <w:spacing w:val="-2"/>
        </w:rPr>
        <w:t>L’UPU soutiendra les projets sélectionnés répondant aux critères définis ci-dessous (sous réserve de la conclu</w:t>
      </w:r>
      <w:r w:rsidRPr="00B00E04">
        <w:rPr>
          <w:spacing w:val="-2"/>
        </w:rPr>
        <w:softHyphen/>
      </w:r>
      <w:r>
        <w:t>sion de l’instrument contractuel pertinent entre l’UPU et chaque opérateur désigné participant) en accordant la priorité aux projets qui favorisent la mise en place et le déploiement de capacités en matière de financement inclusif numérique.</w:t>
      </w:r>
    </w:p>
    <w:p w14:paraId="7D29BA44" w14:textId="77777777" w:rsidR="00B00E04" w:rsidRPr="00BA4F60" w:rsidRDefault="00B00E04" w:rsidP="00C13679">
      <w:pPr>
        <w:pStyle w:val="0Textedebase"/>
        <w:pageBreakBefore/>
        <w:spacing w:line="240" w:lineRule="atLeast"/>
      </w:pPr>
      <w:r>
        <w:lastRenderedPageBreak/>
        <w:t>Ces projets devraient se concentrer sur les domaines ci-après:</w:t>
      </w:r>
    </w:p>
    <w:p w14:paraId="44DBBDA9" w14:textId="4050BEEF" w:rsidR="00B00E04" w:rsidRPr="005E7B67" w:rsidRDefault="0083649A" w:rsidP="0083649A">
      <w:pPr>
        <w:pStyle w:val="paragraph"/>
        <w:spacing w:before="120" w:beforeAutospacing="0" w:after="0" w:afterAutospacing="0" w:line="240" w:lineRule="atLeast"/>
        <w:ind w:left="567" w:hanging="567"/>
        <w:jc w:val="both"/>
        <w:textAlignment w:val="baseline"/>
        <w:rPr>
          <w:rFonts w:ascii="Arial" w:hAnsi="Arial" w:cs="Arial"/>
          <w:sz w:val="20"/>
          <w:szCs w:val="20"/>
        </w:rPr>
      </w:pPr>
      <w:r>
        <w:t>–</w:t>
      </w:r>
      <w:r>
        <w:tab/>
      </w:r>
      <w:r w:rsidR="00B00E04">
        <w:rPr>
          <w:rStyle w:val="normaltextrun"/>
          <w:rFonts w:ascii="Arial" w:hAnsi="Arial"/>
          <w:color w:val="000000"/>
          <w:sz w:val="20"/>
          <w:szCs w:val="20"/>
        </w:rPr>
        <w:t xml:space="preserve">Évaluation complète des besoins du segment de clientèle des </w:t>
      </w:r>
      <w:r w:rsidR="00B00E04" w:rsidRPr="006E4F60">
        <w:rPr>
          <w:rStyle w:val="normaltextrun"/>
          <w:rFonts w:ascii="Arial" w:hAnsi="Arial"/>
          <w:color w:val="000000"/>
          <w:sz w:val="20"/>
          <w:szCs w:val="20"/>
        </w:rPr>
        <w:t xml:space="preserve">services financiers numériques </w:t>
      </w:r>
      <w:r w:rsidR="00B00E04">
        <w:rPr>
          <w:rStyle w:val="normaltextrun"/>
          <w:rFonts w:ascii="Arial" w:hAnsi="Arial"/>
          <w:color w:val="000000"/>
          <w:sz w:val="20"/>
          <w:szCs w:val="20"/>
        </w:rPr>
        <w:t>postaux</w:t>
      </w:r>
      <w:r w:rsidR="00B00E04">
        <w:rPr>
          <w:rStyle w:val="eop"/>
          <w:rFonts w:ascii="Arial" w:hAnsi="Arial"/>
          <w:sz w:val="20"/>
          <w:szCs w:val="20"/>
        </w:rPr>
        <w:t xml:space="preserve"> en insistant sur les microentreprises et les petites et moyennes entreprises (MPME), les femmes, les petites exploitations agricoles, les jeunes et les autres franges mal desservies de la population.</w:t>
      </w:r>
    </w:p>
    <w:p w14:paraId="3D07D915" w14:textId="06DCA083" w:rsidR="00B00E04" w:rsidRPr="005E7B67" w:rsidRDefault="0083649A" w:rsidP="0083649A">
      <w:pPr>
        <w:pStyle w:val="paragraph"/>
        <w:spacing w:before="120" w:beforeAutospacing="0" w:after="0" w:afterAutospacing="0" w:line="240" w:lineRule="atLeast"/>
        <w:ind w:left="567" w:hanging="567"/>
        <w:jc w:val="both"/>
        <w:textAlignment w:val="baseline"/>
        <w:rPr>
          <w:rFonts w:ascii="Arial" w:hAnsi="Arial" w:cs="Arial"/>
          <w:sz w:val="20"/>
          <w:szCs w:val="20"/>
        </w:rPr>
      </w:pPr>
      <w:r>
        <w:t>–</w:t>
      </w:r>
      <w:r>
        <w:tab/>
      </w:r>
      <w:r w:rsidR="00B00E04" w:rsidRPr="00C13679">
        <w:rPr>
          <w:rStyle w:val="normaltextrun"/>
          <w:rFonts w:ascii="Arial" w:hAnsi="Arial"/>
          <w:color w:val="000000"/>
          <w:spacing w:val="-2"/>
          <w:sz w:val="20"/>
          <w:szCs w:val="20"/>
        </w:rPr>
        <w:t>Produits et solutions des services financiers numériques postaux les plus pertinents et innovants et infra</w:t>
      </w:r>
      <w:r w:rsidR="00C13679" w:rsidRPr="00C13679">
        <w:rPr>
          <w:rStyle w:val="normaltextrun"/>
          <w:rFonts w:ascii="Arial" w:hAnsi="Arial"/>
          <w:color w:val="000000"/>
          <w:spacing w:val="-2"/>
          <w:sz w:val="20"/>
          <w:szCs w:val="20"/>
        </w:rPr>
        <w:softHyphen/>
      </w:r>
      <w:r w:rsidR="00B00E04">
        <w:rPr>
          <w:rStyle w:val="normaltextrun"/>
          <w:rFonts w:ascii="Arial" w:hAnsi="Arial"/>
          <w:color w:val="000000"/>
          <w:sz w:val="20"/>
          <w:szCs w:val="20"/>
        </w:rPr>
        <w:t>structure technique pour chaque segment de clientèle, conformément aux dispositions réglementaires.</w:t>
      </w:r>
    </w:p>
    <w:p w14:paraId="711FC88D" w14:textId="119608A0" w:rsidR="00B00E04" w:rsidRPr="005E7B67" w:rsidRDefault="0083649A" w:rsidP="0083649A">
      <w:pPr>
        <w:pStyle w:val="paragraph"/>
        <w:spacing w:before="120" w:beforeAutospacing="0" w:after="0" w:afterAutospacing="0" w:line="240" w:lineRule="atLeast"/>
        <w:ind w:left="567" w:hanging="567"/>
        <w:jc w:val="both"/>
        <w:textAlignment w:val="baseline"/>
        <w:rPr>
          <w:rFonts w:ascii="Arial" w:hAnsi="Arial" w:cs="Arial"/>
          <w:sz w:val="20"/>
          <w:szCs w:val="20"/>
        </w:rPr>
      </w:pPr>
      <w:r>
        <w:t>–</w:t>
      </w:r>
      <w:r>
        <w:tab/>
      </w:r>
      <w:r w:rsidR="00B00E04">
        <w:rPr>
          <w:rStyle w:val="normaltextrun"/>
          <w:rFonts w:ascii="Arial" w:hAnsi="Arial"/>
          <w:color w:val="000000"/>
          <w:sz w:val="20"/>
          <w:szCs w:val="20"/>
        </w:rPr>
        <w:t>Plans pour l’éducation, l’alphabétisation et le renforcement des capacités, y compris les modèles d’uti</w:t>
      </w:r>
      <w:r w:rsidR="00B00E04">
        <w:rPr>
          <w:rStyle w:val="normaltextrun"/>
          <w:rFonts w:ascii="Arial" w:hAnsi="Arial"/>
          <w:color w:val="000000"/>
          <w:sz w:val="20"/>
          <w:szCs w:val="20"/>
        </w:rPr>
        <w:softHyphen/>
        <w:t>lisation et d’activation.</w:t>
      </w:r>
    </w:p>
    <w:p w14:paraId="6B5DC5D3" w14:textId="43D59381" w:rsidR="00B00E04" w:rsidRPr="005E7B67" w:rsidRDefault="0083649A" w:rsidP="0083649A">
      <w:pPr>
        <w:pStyle w:val="paragraph"/>
        <w:spacing w:before="120" w:beforeAutospacing="0" w:after="0" w:afterAutospacing="0" w:line="240" w:lineRule="atLeast"/>
        <w:ind w:left="567" w:hanging="567"/>
        <w:jc w:val="both"/>
        <w:textAlignment w:val="baseline"/>
        <w:rPr>
          <w:rFonts w:ascii="Arial" w:hAnsi="Arial" w:cs="Arial"/>
          <w:sz w:val="20"/>
          <w:szCs w:val="20"/>
        </w:rPr>
      </w:pPr>
      <w:r>
        <w:t>–</w:t>
      </w:r>
      <w:r>
        <w:tab/>
      </w:r>
      <w:r w:rsidR="00B00E04">
        <w:rPr>
          <w:rStyle w:val="normaltextrun"/>
          <w:rFonts w:ascii="Arial" w:hAnsi="Arial"/>
          <w:color w:val="000000"/>
          <w:sz w:val="20"/>
          <w:szCs w:val="20"/>
        </w:rPr>
        <w:t xml:space="preserve">Plans de projet spécifiques aux pays et suggestions sur les modèles opérationnels de partenariat pour les </w:t>
      </w:r>
      <w:r w:rsidR="00B00E04" w:rsidRPr="006E4F60">
        <w:rPr>
          <w:rStyle w:val="normaltextrun"/>
          <w:rFonts w:ascii="Arial" w:hAnsi="Arial"/>
          <w:color w:val="000000"/>
          <w:sz w:val="20"/>
          <w:szCs w:val="20"/>
        </w:rPr>
        <w:t xml:space="preserve">services financiers numériques </w:t>
      </w:r>
      <w:r w:rsidR="00B00E04">
        <w:rPr>
          <w:rStyle w:val="normaltextrun"/>
          <w:rFonts w:ascii="Arial" w:hAnsi="Arial"/>
          <w:color w:val="000000"/>
          <w:sz w:val="20"/>
          <w:szCs w:val="20"/>
        </w:rPr>
        <w:t xml:space="preserve">postaux et plans de recherche de partenaires de </w:t>
      </w:r>
      <w:r w:rsidR="00B00E04" w:rsidRPr="006E4F60">
        <w:rPr>
          <w:rStyle w:val="normaltextrun"/>
          <w:rFonts w:ascii="Arial" w:hAnsi="Arial"/>
          <w:color w:val="000000"/>
          <w:sz w:val="20"/>
          <w:szCs w:val="20"/>
        </w:rPr>
        <w:t xml:space="preserve">services financiers numériques </w:t>
      </w:r>
      <w:r w:rsidR="00B00E04">
        <w:rPr>
          <w:rStyle w:val="normaltextrun"/>
          <w:rFonts w:ascii="Arial" w:hAnsi="Arial"/>
          <w:color w:val="000000"/>
          <w:sz w:val="20"/>
          <w:szCs w:val="20"/>
        </w:rPr>
        <w:t>nationaux adaptés au marché.</w:t>
      </w:r>
    </w:p>
    <w:p w14:paraId="077B328E" w14:textId="73888A3C" w:rsidR="00B00E04" w:rsidRPr="005E7B67" w:rsidRDefault="0083649A" w:rsidP="0083649A">
      <w:pPr>
        <w:pStyle w:val="paragraph"/>
        <w:spacing w:before="120" w:beforeAutospacing="0" w:after="0" w:afterAutospacing="0" w:line="240" w:lineRule="atLeast"/>
        <w:ind w:left="567" w:hanging="567"/>
        <w:jc w:val="both"/>
        <w:textAlignment w:val="baseline"/>
      </w:pPr>
      <w:r>
        <w:t>–</w:t>
      </w:r>
      <w:r>
        <w:tab/>
      </w:r>
      <w:r w:rsidR="00B00E04">
        <w:rPr>
          <w:rStyle w:val="normaltextrun"/>
          <w:rFonts w:ascii="Arial" w:hAnsi="Arial"/>
          <w:color w:val="000000"/>
          <w:sz w:val="20"/>
          <w:szCs w:val="20"/>
        </w:rPr>
        <w:t xml:space="preserve">Proposition de valeur des opérateurs désignés et des </w:t>
      </w:r>
      <w:r w:rsidR="00B00E04" w:rsidRPr="006E4F60">
        <w:rPr>
          <w:rStyle w:val="normaltextrun"/>
          <w:rFonts w:ascii="Arial" w:hAnsi="Arial"/>
          <w:color w:val="000000"/>
          <w:sz w:val="20"/>
          <w:szCs w:val="20"/>
        </w:rPr>
        <w:t>services financiers numériques</w:t>
      </w:r>
      <w:r w:rsidR="00B00E04">
        <w:rPr>
          <w:rStyle w:val="normaltextrun"/>
          <w:rFonts w:ascii="Arial" w:hAnsi="Arial"/>
          <w:color w:val="000000"/>
          <w:sz w:val="20"/>
          <w:szCs w:val="20"/>
        </w:rPr>
        <w:t>, comme les inci</w:t>
      </w:r>
      <w:r w:rsidR="00B00E04">
        <w:rPr>
          <w:rStyle w:val="normaltextrun"/>
          <w:rFonts w:ascii="Arial" w:hAnsi="Arial"/>
          <w:color w:val="000000"/>
          <w:sz w:val="20"/>
          <w:szCs w:val="20"/>
        </w:rPr>
        <w:softHyphen/>
        <w:t xml:space="preserve">dences sur le développement postal, la réduction des coûts, la création de recettes, l’accès numérique, les partenariats gouvernementaux, l’éducation financière, les partenariats dans l’écosystème des </w:t>
      </w:r>
      <w:r w:rsidR="00B00E04" w:rsidRPr="006E4F60">
        <w:rPr>
          <w:rStyle w:val="normaltextrun"/>
          <w:rFonts w:ascii="Arial" w:hAnsi="Arial"/>
          <w:color w:val="000000"/>
          <w:sz w:val="20"/>
          <w:szCs w:val="20"/>
        </w:rPr>
        <w:t>ser</w:t>
      </w:r>
      <w:r w:rsidR="00B00E04">
        <w:rPr>
          <w:rStyle w:val="normaltextrun"/>
          <w:rFonts w:ascii="Arial" w:hAnsi="Arial"/>
          <w:color w:val="000000"/>
          <w:sz w:val="20"/>
          <w:szCs w:val="20"/>
        </w:rPr>
        <w:softHyphen/>
      </w:r>
      <w:r w:rsidR="00B00E04" w:rsidRPr="006E4F60">
        <w:rPr>
          <w:rStyle w:val="normaltextrun"/>
          <w:rFonts w:ascii="Arial" w:hAnsi="Arial"/>
          <w:color w:val="000000"/>
          <w:sz w:val="20"/>
          <w:szCs w:val="20"/>
        </w:rPr>
        <w:t xml:space="preserve">vices financiers numériques </w:t>
      </w:r>
      <w:r w:rsidR="00B00E04">
        <w:rPr>
          <w:rStyle w:val="normaltextrun"/>
          <w:rFonts w:ascii="Arial" w:hAnsi="Arial"/>
          <w:color w:val="000000"/>
          <w:sz w:val="20"/>
          <w:szCs w:val="20"/>
        </w:rPr>
        <w:t>et/ou les objectifs nationaux d’inclusion financière.</w:t>
      </w:r>
    </w:p>
    <w:p w14:paraId="1C4F31A7" w14:textId="77777777" w:rsidR="00B00E04" w:rsidRDefault="00B00E04" w:rsidP="00B00E04">
      <w:pPr>
        <w:pStyle w:val="1Premierretrait"/>
        <w:tabs>
          <w:tab w:val="clear" w:pos="567"/>
        </w:tabs>
        <w:spacing w:before="0" w:line="240" w:lineRule="atLeast"/>
        <w:ind w:left="0" w:firstLine="0"/>
      </w:pPr>
    </w:p>
    <w:p w14:paraId="253092C2" w14:textId="77777777" w:rsidR="00B00E04" w:rsidRPr="00DC2C77" w:rsidRDefault="00B00E04" w:rsidP="00B00E04">
      <w:pPr>
        <w:pStyle w:val="1Premierretrait"/>
        <w:tabs>
          <w:tab w:val="clear" w:pos="567"/>
        </w:tabs>
        <w:spacing w:before="0" w:line="240" w:lineRule="atLeast"/>
        <w:ind w:left="0" w:firstLine="0"/>
      </w:pPr>
    </w:p>
    <w:p w14:paraId="537AF411" w14:textId="77777777" w:rsidR="00B00E04" w:rsidRPr="00E42C1C" w:rsidRDefault="00B00E04" w:rsidP="00B00E04">
      <w:pPr>
        <w:pStyle w:val="0Textedebase"/>
        <w:spacing w:line="240" w:lineRule="atLeast"/>
        <w:ind w:left="567" w:hanging="567"/>
        <w:rPr>
          <w:b/>
          <w:bCs/>
        </w:rPr>
      </w:pPr>
      <w:r>
        <w:rPr>
          <w:b/>
          <w:bCs/>
        </w:rPr>
        <w:t>3.</w:t>
      </w:r>
      <w:r>
        <w:rPr>
          <w:b/>
          <w:bCs/>
        </w:rPr>
        <w:tab/>
        <w:t>Évaluation et sélection des propositions</w:t>
      </w:r>
    </w:p>
    <w:p w14:paraId="2EF216FB" w14:textId="77777777" w:rsidR="00B00E04" w:rsidRPr="00BA4F60" w:rsidRDefault="00B00E04" w:rsidP="00B00E04">
      <w:pPr>
        <w:pStyle w:val="0Textedebase"/>
        <w:spacing w:line="240" w:lineRule="atLeast"/>
      </w:pPr>
    </w:p>
    <w:p w14:paraId="186856C1" w14:textId="2CEB512A" w:rsidR="00B00E04" w:rsidRPr="00BA4F60" w:rsidRDefault="00B00E04" w:rsidP="00B00E04">
      <w:pPr>
        <w:pStyle w:val="0Textedebase"/>
        <w:spacing w:line="240" w:lineRule="atLeast"/>
      </w:pPr>
      <w:r>
        <w:t>L’UPU examinera les propositions de projet en se fondant sur la portée, les objectifs et les incidences possibles pour l’utilisateur final (le client). Toutes les propositions reçues seront évaluées sur la base des critères établis par l’UPU, comme indiqué ci-après:</w:t>
      </w:r>
    </w:p>
    <w:p w14:paraId="75D4ED19" w14:textId="30A93AE2" w:rsidR="00B00E04" w:rsidRPr="00BA4F60" w:rsidRDefault="0083649A" w:rsidP="0083649A">
      <w:pPr>
        <w:pStyle w:val="0Textedebase"/>
        <w:spacing w:before="120" w:line="240" w:lineRule="atLeast"/>
        <w:ind w:left="567" w:hanging="567"/>
      </w:pPr>
      <w:r>
        <w:t>–</w:t>
      </w:r>
      <w:r>
        <w:tab/>
      </w:r>
      <w:r w:rsidR="00B00E04">
        <w:t>Cadre juridique et réglementaire propice et compétences avérées pour proposer des services financiers numériques directement ou par le biais de partenariats.</w:t>
      </w:r>
    </w:p>
    <w:p w14:paraId="0498C0C3" w14:textId="78147C1B" w:rsidR="00B00E04" w:rsidRPr="00BA4F60" w:rsidRDefault="0083649A" w:rsidP="0083649A">
      <w:pPr>
        <w:pStyle w:val="0Textedebase"/>
        <w:spacing w:before="120" w:line="240" w:lineRule="atLeast"/>
        <w:ind w:left="567" w:hanging="567"/>
      </w:pPr>
      <w:r>
        <w:t>–</w:t>
      </w:r>
      <w:r>
        <w:tab/>
      </w:r>
      <w:r w:rsidR="00B00E04" w:rsidRPr="00C13679">
        <w:rPr>
          <w:spacing w:val="-2"/>
        </w:rPr>
        <w:t>Possibilités de s’aligner sur les initiatives gouvernementales pour améliorer l’inclusion financière de l’opé</w:t>
      </w:r>
      <w:r w:rsidR="00C13679" w:rsidRPr="00C13679">
        <w:rPr>
          <w:spacing w:val="-2"/>
        </w:rPr>
        <w:softHyphen/>
      </w:r>
      <w:r w:rsidR="00B00E04" w:rsidRPr="00C13679">
        <w:rPr>
          <w:spacing w:val="-3"/>
        </w:rPr>
        <w:t>rateur désigné, telles que des projets de subventions gouvernementales par le biais de l’opérateur désigné.</w:t>
      </w:r>
    </w:p>
    <w:p w14:paraId="7327A2DF" w14:textId="44EA032E" w:rsidR="00B00E04" w:rsidRPr="00BA4F60" w:rsidRDefault="0083649A" w:rsidP="0083649A">
      <w:pPr>
        <w:pStyle w:val="0Textedebase"/>
        <w:spacing w:before="120" w:line="240" w:lineRule="atLeast"/>
        <w:ind w:left="567" w:hanging="567"/>
      </w:pPr>
      <w:r>
        <w:t>–</w:t>
      </w:r>
      <w:r>
        <w:tab/>
      </w:r>
      <w:r w:rsidR="00B00E04">
        <w:t xml:space="preserve">Engagement de l’équipe de direction de l’opérateur désigné pour traiter en priorité le développement </w:t>
      </w:r>
      <w:r w:rsidR="00B00E04" w:rsidRPr="00C13679">
        <w:rPr>
          <w:spacing w:val="-2"/>
        </w:rPr>
        <w:t>des services financiers numériques pour soutenir les objectifs nationaux en matière d’inclusion financière.</w:t>
      </w:r>
    </w:p>
    <w:p w14:paraId="52A04164" w14:textId="3F67561B" w:rsidR="00B00E04" w:rsidRPr="00BA4F60" w:rsidRDefault="0083649A" w:rsidP="0083649A">
      <w:pPr>
        <w:pStyle w:val="0Textedebase"/>
        <w:spacing w:before="120" w:line="240" w:lineRule="atLeast"/>
        <w:ind w:left="567" w:hanging="567"/>
      </w:pPr>
      <w:r>
        <w:t>–</w:t>
      </w:r>
      <w:r>
        <w:tab/>
      </w:r>
      <w:r w:rsidR="00B00E04">
        <w:t>Pertinence du projet proposé par rapport aux priorités nationales en matière d’inclusion financière et de financement inclusif ainsi que progrès des réglementations sur les services financiers numériques par rapport aux objectifs du programme.</w:t>
      </w:r>
    </w:p>
    <w:p w14:paraId="68F9873F" w14:textId="7A5F2033" w:rsidR="00B00E04" w:rsidRPr="00BA4F60" w:rsidRDefault="0083649A" w:rsidP="0083649A">
      <w:pPr>
        <w:pStyle w:val="0Textedebase"/>
        <w:spacing w:before="120" w:line="240" w:lineRule="atLeast"/>
        <w:ind w:left="567" w:hanging="567"/>
      </w:pPr>
      <w:r>
        <w:t>–</w:t>
      </w:r>
      <w:r>
        <w:tab/>
      </w:r>
      <w:r w:rsidR="00B00E04">
        <w:t>Niveaux de préparation, mobilisation des capacités et ressources de l’opérateur désigné pour mener le plan de mise en œuvre du projet conformément aux directives sur le temps de déploiement du projet.</w:t>
      </w:r>
    </w:p>
    <w:p w14:paraId="47C667A2" w14:textId="2E632EED" w:rsidR="00B00E04" w:rsidRPr="00E42C1C" w:rsidRDefault="0083649A" w:rsidP="0083649A">
      <w:pPr>
        <w:pStyle w:val="0Textedebase"/>
        <w:spacing w:before="120" w:line="240" w:lineRule="atLeast"/>
        <w:ind w:left="567" w:hanging="567"/>
      </w:pPr>
      <w:r>
        <w:t>–</w:t>
      </w:r>
      <w:r>
        <w:tab/>
      </w:r>
      <w:r w:rsidR="00B00E04">
        <w:t>Disponibilité des ressources en matière de services financiers numériques nécessaires au sein de l’opé</w:t>
      </w:r>
      <w:r w:rsidR="00B00E04">
        <w:softHyphen/>
        <w:t>rateur désigné pour créer une interface avec les partenaires de services financiers numériques locaux afin de mettre en œuvre le projet.</w:t>
      </w:r>
    </w:p>
    <w:p w14:paraId="21829356" w14:textId="2E0C113E" w:rsidR="00B00E04" w:rsidRPr="00E42C1C" w:rsidRDefault="0083649A" w:rsidP="0083649A">
      <w:pPr>
        <w:pStyle w:val="0Textedebase"/>
        <w:spacing w:before="120" w:line="240" w:lineRule="atLeast"/>
        <w:ind w:left="567" w:hanging="567"/>
      </w:pPr>
      <w:r>
        <w:t>–</w:t>
      </w:r>
      <w:r>
        <w:tab/>
      </w:r>
      <w:r w:rsidR="00B00E04">
        <w:t>Objectifs spécifiques de projet pour déployer les innovations en matière de services financiers numé</w:t>
      </w:r>
      <w:r w:rsidR="00B00E04">
        <w:softHyphen/>
        <w:t>riques en vue d’améliorer la technologie et de diversifier l’offre de produits de services financiers numé</w:t>
      </w:r>
      <w:r w:rsidR="00B00E04">
        <w:softHyphen/>
        <w:t>riques, les modèles opérationnels et les canaux de distribution pour mieux servir la clientèle postale.</w:t>
      </w:r>
    </w:p>
    <w:p w14:paraId="295B09C8" w14:textId="50573366" w:rsidR="00B00E04" w:rsidRPr="00E42C1C" w:rsidRDefault="0083649A" w:rsidP="0083649A">
      <w:pPr>
        <w:pStyle w:val="0Textedebase"/>
        <w:spacing w:before="120" w:line="240" w:lineRule="atLeast"/>
        <w:ind w:left="567" w:hanging="567"/>
      </w:pPr>
      <w:r>
        <w:t>–</w:t>
      </w:r>
      <w:r>
        <w:tab/>
      </w:r>
      <w:r w:rsidR="00B00E04" w:rsidRPr="00597198">
        <w:rPr>
          <w:spacing w:val="-3"/>
        </w:rPr>
        <w:t>Engagements clairement définis sur l’implication, l’acquisition et l’activité du ou des segments de la clientèle</w:t>
      </w:r>
      <w:r w:rsidR="00B00E04">
        <w:t xml:space="preserve"> cible pour les produits et solutions de services financiers numériques.</w:t>
      </w:r>
    </w:p>
    <w:p w14:paraId="249318B2" w14:textId="6088E0CA" w:rsidR="00B00E04" w:rsidRPr="00C13679" w:rsidRDefault="00B00E04" w:rsidP="00C13679"/>
    <w:p w14:paraId="3A2732BD" w14:textId="77777777" w:rsidR="00B00E04" w:rsidRPr="00C13679" w:rsidRDefault="00B00E04" w:rsidP="00C13679">
      <w:pPr>
        <w:pStyle w:val="1Premierretrait"/>
        <w:tabs>
          <w:tab w:val="clear" w:pos="567"/>
        </w:tabs>
        <w:spacing w:before="0" w:line="240" w:lineRule="atLeast"/>
        <w:ind w:left="0" w:firstLine="0"/>
        <w:rPr>
          <w:i/>
          <w:iCs/>
        </w:rPr>
      </w:pPr>
      <w:r w:rsidRPr="00C13679">
        <w:rPr>
          <w:i/>
          <w:iCs/>
        </w:rPr>
        <w:t xml:space="preserve">Évaluation des incidences du </w:t>
      </w:r>
      <w:r w:rsidRPr="00C13679">
        <w:rPr>
          <w:bCs/>
          <w:i/>
        </w:rPr>
        <w:t>projet</w:t>
      </w:r>
    </w:p>
    <w:p w14:paraId="0CD260D8" w14:textId="77777777" w:rsidR="00B00E04" w:rsidRPr="00C13679" w:rsidRDefault="00B00E04" w:rsidP="00C13679">
      <w:pPr>
        <w:pStyle w:val="1Premierretrait"/>
        <w:tabs>
          <w:tab w:val="clear" w:pos="567"/>
        </w:tabs>
        <w:spacing w:before="0" w:line="240" w:lineRule="atLeast"/>
        <w:ind w:left="0" w:firstLine="0"/>
      </w:pPr>
    </w:p>
    <w:p w14:paraId="7DD9EC52" w14:textId="04286234" w:rsidR="00B00E04" w:rsidRPr="00C13679" w:rsidRDefault="00B00E04" w:rsidP="00C13679">
      <w:pPr>
        <w:pStyle w:val="1Premierretrait"/>
        <w:tabs>
          <w:tab w:val="clear" w:pos="567"/>
        </w:tabs>
        <w:spacing w:before="0" w:line="240" w:lineRule="atLeast"/>
        <w:ind w:left="0" w:firstLine="0"/>
      </w:pPr>
      <w:r w:rsidRPr="00C13679">
        <w:t>Les incidences potentielles du projet sur l’inclusion financière seront évaluées au moyen d’évaluations quan</w:t>
      </w:r>
      <w:r w:rsidRPr="00C13679">
        <w:softHyphen/>
        <w:t>titatives et qualitatives des résultats du projet et peuvent inclure les principaux indicateurs de performance ci-après:</w:t>
      </w:r>
    </w:p>
    <w:p w14:paraId="2C4C0C49" w14:textId="20D0706D" w:rsidR="00B00E04" w:rsidRPr="005E7B67" w:rsidRDefault="00B00E04" w:rsidP="00C13679">
      <w:pPr>
        <w:pStyle w:val="0Textedebase"/>
        <w:spacing w:before="120" w:line="240" w:lineRule="atLeast"/>
        <w:ind w:left="567" w:hanging="567"/>
      </w:pPr>
      <w:r>
        <w:t>–</w:t>
      </w:r>
      <w:r>
        <w:tab/>
        <w:t>Fourniture de solutions de services financiers numériques pertinentes pour les segments ciblés de la clientèle postale.</w:t>
      </w:r>
    </w:p>
    <w:p w14:paraId="7C802827" w14:textId="10A6FCB5" w:rsidR="00B00E04" w:rsidRPr="00597198" w:rsidRDefault="00B00E04" w:rsidP="00597198">
      <w:pPr>
        <w:pStyle w:val="0Textedebase"/>
        <w:pageBreakBefore/>
        <w:spacing w:before="120" w:line="240" w:lineRule="atLeast"/>
        <w:ind w:left="567" w:hanging="567"/>
      </w:pPr>
      <w:r>
        <w:lastRenderedPageBreak/>
        <w:t>–</w:t>
      </w:r>
      <w:r>
        <w:tab/>
        <w:t xml:space="preserve">Recommandations sur les plans de déploiement durable pour permettre aux opérateurs désignés de diversifier leurs produits et solutions de services financiers numériques et générer des recettes postales </w:t>
      </w:r>
      <w:r w:rsidRPr="00597198">
        <w:t>durables et évolutives pour mieux servir la clientèle et soutenir les objectifs nationaux en matière d’in</w:t>
      </w:r>
      <w:r w:rsidRPr="00597198">
        <w:softHyphen/>
        <w:t>clusion financière. Ces solutions seront déployées par les opérateurs désignés conformément aux pro</w:t>
      </w:r>
      <w:r w:rsidRPr="00597198">
        <w:softHyphen/>
        <w:t>cédures nationales applicables de passation de marchés.</w:t>
      </w:r>
    </w:p>
    <w:p w14:paraId="5B9165FD" w14:textId="71396286" w:rsidR="00B00E04" w:rsidRPr="00597198" w:rsidRDefault="00B00E04" w:rsidP="00597198">
      <w:pPr>
        <w:spacing w:before="120"/>
        <w:ind w:left="567" w:hanging="567"/>
        <w:jc w:val="both"/>
      </w:pPr>
      <w:r w:rsidRPr="00597198">
        <w:t>–</w:t>
      </w:r>
      <w:r w:rsidRPr="00597198">
        <w:tab/>
        <w:t>Création d’une méthodologie visant à suivre le nombre des clients et l’utilisation.</w:t>
      </w:r>
    </w:p>
    <w:p w14:paraId="740284A2" w14:textId="37026C56" w:rsidR="00B00E04" w:rsidRPr="00597198" w:rsidRDefault="00B00E04" w:rsidP="00597198">
      <w:pPr>
        <w:spacing w:before="120"/>
        <w:ind w:left="567" w:hanging="567"/>
        <w:jc w:val="both"/>
      </w:pPr>
      <w:r w:rsidRPr="00597198">
        <w:t>–</w:t>
      </w:r>
      <w:r w:rsidRPr="00597198">
        <w:tab/>
      </w:r>
      <w:r w:rsidRPr="00597198">
        <w:rPr>
          <w:spacing w:val="-2"/>
        </w:rPr>
        <w:t>Preuve d’une contribution aux objectifs nationaux en matière d’inclusion financière et des gains d’efficacité.</w:t>
      </w:r>
    </w:p>
    <w:p w14:paraId="6983A898" w14:textId="538AB2C4" w:rsidR="00B00E04" w:rsidRPr="00597198" w:rsidRDefault="00B00E04" w:rsidP="00597198">
      <w:pPr>
        <w:pStyle w:val="0Textedebase"/>
        <w:spacing w:before="120" w:line="240" w:lineRule="atLeast"/>
        <w:ind w:left="567" w:hanging="567"/>
      </w:pPr>
      <w:r w:rsidRPr="00597198">
        <w:t>–</w:t>
      </w:r>
      <w:r w:rsidRPr="00597198">
        <w:tab/>
        <w:t>Possibilités de création de nouveaux revenus et d’amélioration des processus pour l’entité participante.</w:t>
      </w:r>
      <w:r w:rsidR="00597198">
        <w:br/>
      </w:r>
    </w:p>
    <w:p w14:paraId="7AE7AE13" w14:textId="77777777" w:rsidR="00B00E04" w:rsidRPr="00597198" w:rsidRDefault="00B00E04" w:rsidP="00597198">
      <w:pPr>
        <w:pStyle w:val="0Textedebase"/>
        <w:spacing w:line="240" w:lineRule="atLeast"/>
      </w:pPr>
    </w:p>
    <w:p w14:paraId="250E0D75" w14:textId="77777777" w:rsidR="00B00E04" w:rsidRPr="00597198" w:rsidRDefault="00B00E04" w:rsidP="00597198">
      <w:pPr>
        <w:pStyle w:val="0Textedebase"/>
        <w:spacing w:line="240" w:lineRule="atLeast"/>
        <w:ind w:left="567" w:hanging="567"/>
        <w:rPr>
          <w:b/>
          <w:bCs/>
        </w:rPr>
      </w:pPr>
      <w:r w:rsidRPr="00597198">
        <w:rPr>
          <w:b/>
          <w:bCs/>
        </w:rPr>
        <w:t>4.</w:t>
      </w:r>
      <w:r w:rsidRPr="00597198">
        <w:rPr>
          <w:b/>
          <w:bCs/>
        </w:rPr>
        <w:tab/>
        <w:t>Estimation des coûts de mise en œuvre du projet</w:t>
      </w:r>
    </w:p>
    <w:p w14:paraId="27271367" w14:textId="77777777" w:rsidR="00B00E04" w:rsidRPr="00597198" w:rsidRDefault="00B00E04" w:rsidP="00597198">
      <w:pPr>
        <w:pStyle w:val="0Textedebase"/>
        <w:spacing w:line="240" w:lineRule="atLeast"/>
      </w:pPr>
    </w:p>
    <w:p w14:paraId="21201E5A" w14:textId="2E8854BD" w:rsidR="00B00E04" w:rsidRPr="00597198" w:rsidRDefault="00B00E04" w:rsidP="00597198">
      <w:pPr>
        <w:pStyle w:val="0Textedebase"/>
        <w:spacing w:line="240" w:lineRule="atLeast"/>
      </w:pPr>
      <w:r w:rsidRPr="00597198">
        <w:t>L’UPU ne versera pas d’allocation financière directe aux opérateurs désignés dans le cadre de leur participa</w:t>
      </w:r>
      <w:r w:rsidRPr="00597198">
        <w:softHyphen/>
        <w:t>tion à ce programme.</w:t>
      </w:r>
    </w:p>
    <w:p w14:paraId="6839248E" w14:textId="77777777" w:rsidR="00B00E04" w:rsidRPr="00597198" w:rsidRDefault="00B00E04" w:rsidP="00597198">
      <w:pPr>
        <w:pStyle w:val="0Textedebase"/>
        <w:spacing w:line="240" w:lineRule="atLeast"/>
      </w:pPr>
    </w:p>
    <w:p w14:paraId="733C4ED3" w14:textId="77777777" w:rsidR="00B00E04" w:rsidRPr="00597198" w:rsidRDefault="00B00E04" w:rsidP="00597198">
      <w:pPr>
        <w:pStyle w:val="0Textedebase"/>
        <w:spacing w:line="240" w:lineRule="atLeast"/>
      </w:pPr>
      <w:r w:rsidRPr="00597198">
        <w:rPr>
          <w:spacing w:val="-2"/>
        </w:rPr>
        <w:t>Les coûts prévus associés aux évaluations complètes du projet de FITAF 2 de bout en bout, aux validations de</w:t>
      </w:r>
      <w:r w:rsidRPr="00597198">
        <w:t xml:space="preserve"> l’état de préparation technique et à l’élaboration des plans finals de déploiement et d’expansion sur le marché pourront atteindre 150 000 USD par projet. Ces coûts seront couverts par le programme.</w:t>
      </w:r>
    </w:p>
    <w:p w14:paraId="6BA8DC6D" w14:textId="77777777" w:rsidR="00B00E04" w:rsidRPr="00597198" w:rsidRDefault="00B00E04" w:rsidP="00597198">
      <w:pPr>
        <w:pStyle w:val="0Textedebase"/>
        <w:spacing w:line="240" w:lineRule="atLeast"/>
      </w:pPr>
    </w:p>
    <w:p w14:paraId="481D3177" w14:textId="77777777" w:rsidR="00B00E04" w:rsidRPr="00597198" w:rsidRDefault="00B00E04" w:rsidP="00597198">
      <w:pPr>
        <w:pStyle w:val="0Textedebase"/>
        <w:spacing w:line="240" w:lineRule="atLeast"/>
      </w:pPr>
      <w:r w:rsidRPr="00597198">
        <w:t>La période de mise en œuvre du projet ne doit pas dépasser douze mois.</w:t>
      </w:r>
    </w:p>
    <w:p w14:paraId="22FF836A" w14:textId="77777777" w:rsidR="00B00E04" w:rsidRPr="00597198" w:rsidRDefault="00B00E04" w:rsidP="00597198">
      <w:pPr>
        <w:pStyle w:val="0Textedebase"/>
        <w:spacing w:line="240" w:lineRule="atLeast"/>
      </w:pPr>
    </w:p>
    <w:p w14:paraId="3F61438A" w14:textId="77777777" w:rsidR="00B00E04" w:rsidRPr="00597198" w:rsidRDefault="00B00E04" w:rsidP="00597198">
      <w:pPr>
        <w:pStyle w:val="0Textedebase"/>
        <w:spacing w:line="240" w:lineRule="atLeast"/>
        <w:rPr>
          <w:i/>
          <w:iCs/>
        </w:rPr>
      </w:pPr>
      <w:r w:rsidRPr="00597198">
        <w:rPr>
          <w:i/>
          <w:iCs/>
        </w:rPr>
        <w:t>Cofinancement</w:t>
      </w:r>
    </w:p>
    <w:p w14:paraId="1168CA4B" w14:textId="77777777" w:rsidR="00B00E04" w:rsidRPr="00597198" w:rsidRDefault="00B00E04" w:rsidP="00597198">
      <w:pPr>
        <w:pStyle w:val="0Textedebase"/>
        <w:spacing w:line="240" w:lineRule="atLeast"/>
      </w:pPr>
    </w:p>
    <w:p w14:paraId="7C256BD2" w14:textId="3A2E56FD" w:rsidR="00B00E04" w:rsidRPr="00597198" w:rsidRDefault="00B00E04" w:rsidP="00597198">
      <w:pPr>
        <w:pStyle w:val="0Textedebase"/>
        <w:spacing w:line="240" w:lineRule="atLeast"/>
      </w:pPr>
      <w:r w:rsidRPr="00597198">
        <w:t>Les bénéficiaires du projet peuvent proposer sur la base du volontariat des contributions financières en fonc</w:t>
      </w:r>
      <w:r w:rsidRPr="00597198">
        <w:softHyphen/>
        <w:t>tion de leurs propres besoins pour apporter un soutien supplémentaire à leur projet de FITAF 2.</w:t>
      </w:r>
    </w:p>
    <w:p w14:paraId="42A6498E" w14:textId="77777777" w:rsidR="00B00E04" w:rsidRPr="00597198" w:rsidRDefault="00B00E04" w:rsidP="00597198">
      <w:pPr>
        <w:pStyle w:val="0Textedebase"/>
        <w:spacing w:line="240" w:lineRule="atLeast"/>
      </w:pPr>
    </w:p>
    <w:p w14:paraId="0060A694" w14:textId="77777777" w:rsidR="00B00E04" w:rsidRPr="00597198" w:rsidRDefault="00B00E04" w:rsidP="00597198">
      <w:pPr>
        <w:pStyle w:val="0Textedebase"/>
        <w:spacing w:line="240" w:lineRule="atLeast"/>
      </w:pPr>
      <w:r w:rsidRPr="00597198">
        <w:t>Ce type de contributions financières n’est pas exigé pour prendre part au FITAF 2.</w:t>
      </w:r>
    </w:p>
    <w:p w14:paraId="16E33504" w14:textId="77777777" w:rsidR="00B00E04" w:rsidRPr="00597198" w:rsidRDefault="00B00E04" w:rsidP="00597198">
      <w:pPr>
        <w:pStyle w:val="0Textedebase"/>
        <w:spacing w:line="240" w:lineRule="atLeast"/>
      </w:pPr>
    </w:p>
    <w:p w14:paraId="2575853E" w14:textId="77777777" w:rsidR="00B00E04" w:rsidRPr="00597198" w:rsidRDefault="00B00E04" w:rsidP="00597198">
      <w:pPr>
        <w:pStyle w:val="0Textedebase"/>
        <w:spacing w:line="240" w:lineRule="atLeast"/>
      </w:pPr>
    </w:p>
    <w:p w14:paraId="28855281" w14:textId="77777777" w:rsidR="00B00E04" w:rsidRPr="00597198" w:rsidRDefault="00B00E04" w:rsidP="00597198">
      <w:pPr>
        <w:pStyle w:val="0Textedebase"/>
        <w:spacing w:line="240" w:lineRule="atLeast"/>
        <w:ind w:left="567" w:hanging="567"/>
        <w:rPr>
          <w:b/>
          <w:bCs/>
        </w:rPr>
      </w:pPr>
      <w:r w:rsidRPr="00597198">
        <w:rPr>
          <w:b/>
          <w:bCs/>
        </w:rPr>
        <w:t>5.</w:t>
      </w:r>
      <w:r w:rsidRPr="00597198">
        <w:rPr>
          <w:b/>
          <w:bCs/>
        </w:rPr>
        <w:tab/>
        <w:t>Procédure de demande</w:t>
      </w:r>
    </w:p>
    <w:p w14:paraId="1DBAE6A6" w14:textId="74B2854D" w:rsidR="00B00E04" w:rsidRPr="00597198" w:rsidRDefault="00B00E04" w:rsidP="00597198">
      <w:pPr>
        <w:pStyle w:val="0Textedebase"/>
        <w:spacing w:line="240" w:lineRule="atLeast"/>
      </w:pPr>
    </w:p>
    <w:p w14:paraId="3CBE350C" w14:textId="77777777" w:rsidR="00B00E04" w:rsidRPr="00597198" w:rsidRDefault="00B00E04" w:rsidP="00597198">
      <w:pPr>
        <w:pStyle w:val="0Textedebase"/>
        <w:spacing w:line="240" w:lineRule="atLeast"/>
      </w:pPr>
      <w:r w:rsidRPr="00597198">
        <w:t>Toutes les propositions de projet doivent être établies sur la base du modèle fourni en annexe 1.</w:t>
      </w:r>
    </w:p>
    <w:p w14:paraId="6805E566" w14:textId="77777777" w:rsidR="00B00E04" w:rsidRPr="00597198" w:rsidRDefault="00B00E04" w:rsidP="00597198">
      <w:pPr>
        <w:pStyle w:val="0Textedebase"/>
        <w:spacing w:line="240" w:lineRule="atLeast"/>
      </w:pPr>
    </w:p>
    <w:p w14:paraId="453E644E" w14:textId="3858FC47" w:rsidR="00B00E04" w:rsidRPr="00597198" w:rsidRDefault="00B00E04" w:rsidP="00597198">
      <w:pPr>
        <w:pStyle w:val="0Textedebase"/>
        <w:spacing w:line="240" w:lineRule="atLeast"/>
      </w:pPr>
      <w:r w:rsidRPr="00597198">
        <w:t xml:space="preserve">Ce modèle peut également être téléchargé </w:t>
      </w:r>
      <w:r w:rsidR="00597198">
        <w:t>en ligne (</w:t>
      </w:r>
      <w:hyperlink r:id="rId8" w:history="1">
        <w:r w:rsidRPr="00597198">
          <w:rPr>
            <w:rStyle w:val="Lienhypertexte"/>
            <w:color w:val="000000" w:themeColor="text1"/>
            <w:u w:val="none"/>
          </w:rPr>
          <w:t>www.upu.int/fr/union-postale-universelle/activites/</w:t>
        </w:r>
        <w:r w:rsidR="00597198">
          <w:rPr>
            <w:rStyle w:val="Lienhypertexte"/>
            <w:color w:val="000000" w:themeColor="text1"/>
            <w:u w:val="none"/>
          </w:rPr>
          <w:br/>
        </w:r>
        <w:r w:rsidRPr="00597198">
          <w:rPr>
            <w:rStyle w:val="Lienhypertexte"/>
            <w:color w:val="000000" w:themeColor="text1"/>
            <w:u w:val="none"/>
          </w:rPr>
          <w:t>services-financiers</w:t>
        </w:r>
      </w:hyperlink>
      <w:r w:rsidR="00597198">
        <w:t>).</w:t>
      </w:r>
    </w:p>
    <w:p w14:paraId="059ACD8B" w14:textId="77777777" w:rsidR="00B00E04" w:rsidRPr="00597198" w:rsidRDefault="00B00E04" w:rsidP="00597198">
      <w:pPr>
        <w:pStyle w:val="0Textedebase"/>
        <w:spacing w:line="240" w:lineRule="atLeast"/>
      </w:pPr>
    </w:p>
    <w:p w14:paraId="7FB0C1B2" w14:textId="1ECC12BB" w:rsidR="00B00E04" w:rsidRPr="00597198" w:rsidRDefault="00B00E04" w:rsidP="00597198">
      <w:pPr>
        <w:pStyle w:val="0Textedebase"/>
        <w:spacing w:line="240" w:lineRule="atLeast"/>
      </w:pPr>
      <w:r w:rsidRPr="00597198">
        <w:t>Il peut aussi être demandé par courrier électronique (</w:t>
      </w:r>
      <w:hyperlink r:id="rId9" w:history="1">
        <w:r w:rsidRPr="00597198">
          <w:rPr>
            <w:rStyle w:val="Lienhypertexte"/>
            <w:color w:val="000000" w:themeColor="text1"/>
            <w:u w:val="none"/>
          </w:rPr>
          <w:t>fitaf@upu.int</w:t>
        </w:r>
      </w:hyperlink>
      <w:r w:rsidRPr="00597198">
        <w:t>).</w:t>
      </w:r>
    </w:p>
    <w:p w14:paraId="1B921954" w14:textId="4EE2704D" w:rsidR="00B00E04" w:rsidRPr="00597198" w:rsidRDefault="00B00E04" w:rsidP="00597198">
      <w:pPr>
        <w:pStyle w:val="0Textedebase"/>
        <w:spacing w:line="240" w:lineRule="atLeast"/>
      </w:pPr>
    </w:p>
    <w:p w14:paraId="074B68E7" w14:textId="15F7637B" w:rsidR="00B00E04" w:rsidRPr="00597198" w:rsidRDefault="00B00E04" w:rsidP="00597198">
      <w:pPr>
        <w:pStyle w:val="0Textedebase"/>
        <w:spacing w:line="240" w:lineRule="atLeast"/>
      </w:pPr>
      <w:r w:rsidRPr="00597198">
        <w:t>Les demandes doivent inclure les documents ci-après (au format pdf):</w:t>
      </w:r>
    </w:p>
    <w:p w14:paraId="5D587341" w14:textId="5F1C882D" w:rsidR="00B00E04" w:rsidRPr="00597198" w:rsidRDefault="000F1A87" w:rsidP="00597198">
      <w:pPr>
        <w:pStyle w:val="1Premierretrait"/>
        <w:tabs>
          <w:tab w:val="clear" w:pos="567"/>
        </w:tabs>
        <w:spacing w:line="240" w:lineRule="atLeast"/>
      </w:pPr>
      <w:r w:rsidRPr="00597198">
        <w:t>–</w:t>
      </w:r>
      <w:r w:rsidRPr="00597198">
        <w:tab/>
      </w:r>
      <w:r w:rsidR="00B00E04" w:rsidRPr="00597198">
        <w:t>Formule de proposition de projet (annexe 1).</w:t>
      </w:r>
    </w:p>
    <w:p w14:paraId="4EB02D77" w14:textId="4AC65D9F" w:rsidR="00B00E04" w:rsidRPr="00597198" w:rsidRDefault="000F1A87" w:rsidP="00597198">
      <w:pPr>
        <w:pStyle w:val="0Textedebase"/>
        <w:spacing w:before="120" w:line="240" w:lineRule="atLeast"/>
        <w:ind w:left="567" w:hanging="567"/>
      </w:pPr>
      <w:r w:rsidRPr="00597198">
        <w:t>–</w:t>
      </w:r>
      <w:r w:rsidRPr="00597198">
        <w:tab/>
      </w:r>
      <w:r w:rsidR="00B00E04" w:rsidRPr="00597198">
        <w:rPr>
          <w:spacing w:val="-2"/>
        </w:rPr>
        <w:t>Formule de contribution financière (annexe 2) (si applicable – à utiliser uniquement si l’opérateur désigné</w:t>
      </w:r>
      <w:r w:rsidR="00B00E04" w:rsidRPr="00597198">
        <w:t xml:space="preserve"> soutient financièrement le projet).</w:t>
      </w:r>
    </w:p>
    <w:p w14:paraId="6FCCAB6F" w14:textId="448A4322" w:rsidR="00B00E04" w:rsidRPr="00597198" w:rsidRDefault="00B00E04" w:rsidP="00597198">
      <w:pPr>
        <w:pStyle w:val="0Textedebase"/>
        <w:spacing w:line="240" w:lineRule="atLeast"/>
      </w:pPr>
    </w:p>
    <w:p w14:paraId="264E47E9" w14:textId="77777777" w:rsidR="00B00E04" w:rsidRPr="00597198" w:rsidRDefault="00B00E04" w:rsidP="00597198">
      <w:pPr>
        <w:pStyle w:val="0Textedebase"/>
        <w:spacing w:line="240" w:lineRule="atLeast"/>
      </w:pPr>
      <w:r w:rsidRPr="00597198">
        <w:t>Les demandes doivent être soumises en anglais ou en français (langues de travail du Bureau international de l’UPU).</w:t>
      </w:r>
    </w:p>
    <w:p w14:paraId="24298119" w14:textId="77777777" w:rsidR="00B00E04" w:rsidRPr="00597198" w:rsidRDefault="00B00E04" w:rsidP="00597198">
      <w:pPr>
        <w:pStyle w:val="0Textedebase"/>
        <w:spacing w:line="240" w:lineRule="atLeast"/>
      </w:pPr>
    </w:p>
    <w:p w14:paraId="674A728C" w14:textId="0AFE3D62" w:rsidR="00B00E04" w:rsidRPr="00597198" w:rsidRDefault="00B00E04" w:rsidP="00597198">
      <w:pPr>
        <w:pStyle w:val="0Textedebase"/>
        <w:spacing w:line="240" w:lineRule="atLeast"/>
      </w:pPr>
      <w:r w:rsidRPr="00597198">
        <w:t>Les demandes doivent être soumises par voie électronique (</w:t>
      </w:r>
      <w:hyperlink r:id="rId10" w:history="1">
        <w:r w:rsidRPr="00597198">
          <w:rPr>
            <w:rStyle w:val="Lienhypertexte"/>
            <w:color w:val="000000" w:themeColor="text1"/>
            <w:u w:val="none"/>
          </w:rPr>
          <w:t>fitaf@upu.int</w:t>
        </w:r>
      </w:hyperlink>
      <w:r w:rsidRPr="00597198">
        <w:t xml:space="preserve">) le plus tôt possible, </w:t>
      </w:r>
      <w:r w:rsidRPr="00597198">
        <w:rPr>
          <w:b/>
          <w:bCs/>
        </w:rPr>
        <w:t>mais le 3 sep</w:t>
      </w:r>
      <w:r w:rsidRPr="00597198">
        <w:rPr>
          <w:b/>
          <w:bCs/>
        </w:rPr>
        <w:softHyphen/>
        <w:t>tembre 2025 au plus tard</w:t>
      </w:r>
      <w:r w:rsidRPr="00597198">
        <w:t>.</w:t>
      </w:r>
    </w:p>
    <w:p w14:paraId="2E19563A" w14:textId="77777777" w:rsidR="00B00E04" w:rsidRPr="00597198" w:rsidRDefault="00B00E04" w:rsidP="00597198">
      <w:pPr>
        <w:pStyle w:val="0Textedebase"/>
        <w:spacing w:line="240" w:lineRule="atLeast"/>
      </w:pPr>
    </w:p>
    <w:p w14:paraId="1D0DC218" w14:textId="77777777" w:rsidR="00B00E04" w:rsidRPr="00597198" w:rsidRDefault="00B00E04" w:rsidP="00597198">
      <w:pPr>
        <w:pStyle w:val="0Textedebase"/>
        <w:spacing w:line="240" w:lineRule="atLeast"/>
      </w:pPr>
      <w:r w:rsidRPr="00597198">
        <w:t>Les demandes ne respectant pas les exigences susmentionnées ne seront pas prises en considération.</w:t>
      </w:r>
    </w:p>
    <w:p w14:paraId="33DBD016" w14:textId="77777777" w:rsidR="00B00E04" w:rsidRPr="00597198" w:rsidRDefault="00B00E04" w:rsidP="00597198">
      <w:pPr>
        <w:pStyle w:val="0Textedebase"/>
        <w:spacing w:line="240" w:lineRule="atLeast"/>
      </w:pPr>
    </w:p>
    <w:p w14:paraId="50F5DAA0" w14:textId="72F7BFA7" w:rsidR="00787964" w:rsidRDefault="00B00E04" w:rsidP="00597198">
      <w:pPr>
        <w:pStyle w:val="0Textedebase"/>
        <w:spacing w:line="240" w:lineRule="atLeast"/>
        <w:rPr>
          <w:rStyle w:val="Lienhypertexte"/>
          <w:color w:val="000000" w:themeColor="text1"/>
          <w:u w:val="none"/>
        </w:rPr>
      </w:pPr>
      <w:r w:rsidRPr="00597198">
        <w:t>Contact</w:t>
      </w:r>
      <w:r>
        <w:t xml:space="preserve">: </w:t>
      </w:r>
      <w:hyperlink r:id="rId11" w:history="1">
        <w:r w:rsidRPr="00597198">
          <w:rPr>
            <w:rStyle w:val="Lienhypertexte"/>
            <w:color w:val="000000" w:themeColor="text1"/>
            <w:u w:val="none"/>
          </w:rPr>
          <w:t>fitaf@upu.int</w:t>
        </w:r>
      </w:hyperlink>
    </w:p>
    <w:p w14:paraId="25806C45" w14:textId="77777777" w:rsidR="00597198" w:rsidRPr="00B00E04" w:rsidRDefault="00597198" w:rsidP="00597198">
      <w:pPr>
        <w:pStyle w:val="0Textedebase"/>
        <w:spacing w:line="240" w:lineRule="atLeast"/>
      </w:pPr>
    </w:p>
    <w:sectPr w:rsidR="00597198" w:rsidRPr="00B00E04" w:rsidSect="00E04D2B">
      <w:headerReference w:type="even" r:id="rId12"/>
      <w:headerReference w:type="default" r:id="rId13"/>
      <w:headerReference w:type="first" r:id="rId14"/>
      <w:footerReference w:type="first" r:id="rId15"/>
      <w:endnotePr>
        <w:numFmt w:val="decimal"/>
      </w:endnotePr>
      <w:pgSz w:w="11907" w:h="16840" w:code="9"/>
      <w:pgMar w:top="1134" w:right="851" w:bottom="1134"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2BEED" w14:textId="77777777" w:rsidR="00B00E04" w:rsidRDefault="00B00E04">
      <w:pPr>
        <w:spacing w:after="120"/>
        <w:rPr>
          <w:sz w:val="18"/>
        </w:rPr>
      </w:pPr>
      <w:r>
        <w:rPr>
          <w:sz w:val="18"/>
        </w:rPr>
        <w:t>____________</w:t>
      </w:r>
    </w:p>
  </w:endnote>
  <w:endnote w:type="continuationSeparator" w:id="0">
    <w:p w14:paraId="2E7244B4" w14:textId="77777777" w:rsidR="00B00E04" w:rsidRDefault="00B0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45 Helvetica Light">
    <w:altName w:val="Arial"/>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4446" w14:textId="77777777" w:rsidR="00E04D2B" w:rsidRDefault="00E04D2B" w:rsidP="00282FAD"/>
  <w:p w14:paraId="157110E4" w14:textId="03117E65" w:rsidR="00282FAD" w:rsidRDefault="00282FAD" w:rsidP="00282F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60941" w14:textId="77777777" w:rsidR="00B00E04" w:rsidRDefault="00B00E04" w:rsidP="009E7ADC">
      <w:pPr>
        <w:rPr>
          <w:sz w:val="18"/>
        </w:rPr>
      </w:pPr>
    </w:p>
  </w:footnote>
  <w:footnote w:type="continuationSeparator" w:id="0">
    <w:p w14:paraId="7E72103C" w14:textId="77777777" w:rsidR="00B00E04" w:rsidRPr="00252BCD" w:rsidRDefault="00B00E04" w:rsidP="009E7ADC">
      <w:pPr>
        <w:rPr>
          <w:sz w:val="18"/>
          <w:szCs w:val="18"/>
        </w:rPr>
      </w:pPr>
    </w:p>
  </w:footnote>
  <w:footnote w:type="continuationNotice" w:id="1">
    <w:p w14:paraId="20FD6044" w14:textId="77777777" w:rsidR="00B00E04" w:rsidRPr="00252BCD" w:rsidRDefault="00B00E04" w:rsidP="004E2B3B">
      <w:pPr>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960B" w14:textId="77777777" w:rsidR="00527FF5" w:rsidRDefault="00527FF5">
    <w:pPr>
      <w:jc w:val="center"/>
    </w:pPr>
    <w:r>
      <w:pgNum/>
    </w:r>
  </w:p>
  <w:p w14:paraId="124C14EB"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A1E19" w14:textId="77777777" w:rsidR="00527FF5" w:rsidRDefault="00527FF5" w:rsidP="00F639BA">
    <w:pPr>
      <w:jc w:val="center"/>
    </w:pPr>
    <w:r>
      <w:pgNum/>
    </w:r>
  </w:p>
  <w:p w14:paraId="35714920" w14:textId="77777777" w:rsidR="00527FF5" w:rsidRDefault="00527FF5"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119"/>
      <w:gridCol w:w="6520"/>
    </w:tblGrid>
    <w:tr w:rsidR="00F87364" w:rsidRPr="001813EE" w14:paraId="34034F67" w14:textId="77777777">
      <w:trPr>
        <w:trHeight w:val="1418"/>
      </w:trPr>
      <w:tc>
        <w:tcPr>
          <w:tcW w:w="3119" w:type="dxa"/>
        </w:tcPr>
        <w:p w14:paraId="67741E43" w14:textId="77777777" w:rsidR="00F87364" w:rsidRDefault="00327900" w:rsidP="00AE0D85">
          <w:pPr>
            <w:pStyle w:val="En-tte"/>
            <w:spacing w:before="20" w:after="1180"/>
            <w:rPr>
              <w:rFonts w:ascii="45 Helvetica Light" w:hAnsi="45 Helvetica Light"/>
              <w:sz w:val="18"/>
            </w:rPr>
          </w:pPr>
          <w:r>
            <w:rPr>
              <w:rFonts w:ascii="45 Helvetica Light" w:hAnsi="45 Helvetica Light"/>
              <w:noProof/>
              <w:sz w:val="18"/>
              <w:lang w:val="en-US" w:eastAsia="en-US"/>
            </w:rPr>
            <w:drawing>
              <wp:inline distT="0" distB="0" distL="0" distR="0" wp14:anchorId="0F6ADB29" wp14:editId="11665DB5">
                <wp:extent cx="1749963" cy="421485"/>
                <wp:effectExtent l="0" t="0" r="317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u_logotype_1200_fr.bmp"/>
                        <pic:cNvPicPr/>
                      </pic:nvPicPr>
                      <pic:blipFill>
                        <a:blip r:embed="rId1">
                          <a:extLst>
                            <a:ext uri="{28A0092B-C50C-407E-A947-70E740481C1C}">
                              <a14:useLocalDpi xmlns:a14="http://schemas.microsoft.com/office/drawing/2010/main" val="0"/>
                            </a:ext>
                          </a:extLst>
                        </a:blip>
                        <a:stretch>
                          <a:fillRect/>
                        </a:stretch>
                      </pic:blipFill>
                      <pic:spPr>
                        <a:xfrm>
                          <a:off x="0" y="0"/>
                          <a:ext cx="1749963" cy="421485"/>
                        </a:xfrm>
                        <a:prstGeom prst="rect">
                          <a:avLst/>
                        </a:prstGeom>
                      </pic:spPr>
                    </pic:pic>
                  </a:graphicData>
                </a:graphic>
              </wp:inline>
            </w:drawing>
          </w:r>
        </w:p>
      </w:tc>
      <w:tc>
        <w:tcPr>
          <w:tcW w:w="6520" w:type="dxa"/>
        </w:tcPr>
        <w:p w14:paraId="19A3CBC9" w14:textId="77777777" w:rsidR="00B00E04" w:rsidRDefault="00B00E04" w:rsidP="00B00E04">
          <w:pPr>
            <w:autoSpaceDE w:val="0"/>
            <w:autoSpaceDN w:val="0"/>
            <w:adjustRightInd w:val="0"/>
            <w:ind w:right="8"/>
            <w:jc w:val="right"/>
            <w:rPr>
              <w:rFonts w:cs="Arial"/>
              <w:b/>
              <w:bCs/>
            </w:rPr>
          </w:pPr>
          <w:r>
            <w:rPr>
              <w:b/>
              <w:bCs/>
            </w:rPr>
            <w:t>Mécanisme d’assistance technique</w:t>
          </w:r>
        </w:p>
        <w:p w14:paraId="3BCD9099" w14:textId="77777777" w:rsidR="00B00E04" w:rsidRDefault="00B00E04" w:rsidP="00B00E04">
          <w:pPr>
            <w:autoSpaceDE w:val="0"/>
            <w:autoSpaceDN w:val="0"/>
            <w:adjustRightInd w:val="0"/>
            <w:ind w:right="8"/>
            <w:jc w:val="right"/>
            <w:rPr>
              <w:rFonts w:cs="Arial"/>
              <w:b/>
              <w:bCs/>
            </w:rPr>
          </w:pPr>
          <w:r>
            <w:rPr>
              <w:b/>
              <w:bCs/>
            </w:rPr>
            <w:t>au financement inclusif postal</w:t>
          </w:r>
        </w:p>
        <w:p w14:paraId="5831085C" w14:textId="77777777" w:rsidR="00B00E04" w:rsidRDefault="00B00E04" w:rsidP="00B00E04">
          <w:pPr>
            <w:autoSpaceDE w:val="0"/>
            <w:autoSpaceDN w:val="0"/>
            <w:adjustRightInd w:val="0"/>
            <w:ind w:right="8"/>
            <w:jc w:val="right"/>
            <w:rPr>
              <w:rFonts w:cs="Arial"/>
              <w:b/>
              <w:bCs/>
            </w:rPr>
          </w:pPr>
          <w:r>
            <w:rPr>
              <w:b/>
              <w:bCs/>
            </w:rPr>
            <w:t xml:space="preserve">(FITAF 2) </w:t>
          </w:r>
        </w:p>
        <w:p w14:paraId="37AAF199" w14:textId="6C1A95E6" w:rsidR="007E2C78" w:rsidRPr="001813EE" w:rsidRDefault="00B00E04" w:rsidP="00B00E04">
          <w:pPr>
            <w:autoSpaceDE w:val="0"/>
            <w:autoSpaceDN w:val="0"/>
            <w:adjustRightInd w:val="0"/>
            <w:ind w:right="8"/>
            <w:jc w:val="right"/>
          </w:pPr>
          <w:r>
            <w:rPr>
              <w:b/>
              <w:bCs/>
            </w:rPr>
            <w:t>Appel de projets</w:t>
          </w:r>
        </w:p>
      </w:tc>
    </w:tr>
  </w:tbl>
  <w:p w14:paraId="7E09ED91" w14:textId="77777777" w:rsidR="003104EA" w:rsidRPr="00376861" w:rsidRDefault="003104EA"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216D"/>
    <w:multiLevelType w:val="hybridMultilevel"/>
    <w:tmpl w:val="12360610"/>
    <w:lvl w:ilvl="0" w:tplc="99668026">
      <w:numFmt w:val="bullet"/>
      <w:lvlText w:val="–"/>
      <w:lvlJc w:val="left"/>
      <w:pPr>
        <w:ind w:left="720" w:hanging="360"/>
      </w:pPr>
      <w:rPr>
        <w:rFonts w:ascii="Bookman Old Style" w:eastAsia="Bookman Old Style" w:hAnsi="Bookman Old Style" w:cs="Bookman Old Style" w:hint="default"/>
        <w:b/>
        <w:bCs/>
        <w:i w:val="0"/>
        <w:iCs w:val="0"/>
        <w:spacing w:val="0"/>
        <w:w w:val="118"/>
        <w:sz w:val="18"/>
        <w:szCs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B1F55F1"/>
    <w:multiLevelType w:val="singleLevel"/>
    <w:tmpl w:val="3314FBC6"/>
    <w:lvl w:ilvl="0">
      <w:numFmt w:val="bullet"/>
      <w:pStyle w:val="Premierretrait"/>
      <w:lvlText w:val="–"/>
      <w:lvlJc w:val="left"/>
      <w:pPr>
        <w:tabs>
          <w:tab w:val="num" w:pos="567"/>
        </w:tabs>
        <w:ind w:left="567" w:hanging="567"/>
      </w:pPr>
      <w:rPr>
        <w:rFonts w:ascii="Arial" w:hAnsi="Arial" w:cs="Times New Roman" w:hint="default"/>
        <w:b w:val="0"/>
        <w:i w:val="0"/>
        <w:sz w:val="20"/>
        <w:szCs w:val="20"/>
      </w:rPr>
    </w:lvl>
  </w:abstractNum>
  <w:abstractNum w:abstractNumId="2"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3" w15:restartNumberingAfterBreak="0">
    <w:nsid w:val="0DA519FE"/>
    <w:multiLevelType w:val="singleLevel"/>
    <w:tmpl w:val="B1EC2630"/>
    <w:lvl w:ilvl="0">
      <w:numFmt w:val="bullet"/>
      <w:pStyle w:val="Troisimeretrait"/>
      <w:lvlText w:val="–"/>
      <w:lvlJc w:val="left"/>
      <w:pPr>
        <w:tabs>
          <w:tab w:val="num" w:pos="1701"/>
        </w:tabs>
        <w:ind w:left="1701" w:hanging="567"/>
      </w:pPr>
      <w:rPr>
        <w:rFonts w:ascii="Arial" w:hAnsi="Arial" w:cs="Times New Roman" w:hint="default"/>
        <w:b w:val="0"/>
        <w:i w:val="0"/>
        <w:sz w:val="20"/>
        <w:szCs w:val="20"/>
      </w:rPr>
    </w:lvl>
  </w:abstractNum>
  <w:abstractNum w:abstractNumId="4" w15:restartNumberingAfterBreak="0">
    <w:nsid w:val="162E1F8E"/>
    <w:multiLevelType w:val="hybridMultilevel"/>
    <w:tmpl w:val="6EA4E4A2"/>
    <w:lvl w:ilvl="0" w:tplc="99668026">
      <w:numFmt w:val="bullet"/>
      <w:lvlText w:val="–"/>
      <w:lvlJc w:val="left"/>
      <w:pPr>
        <w:ind w:left="720" w:hanging="360"/>
      </w:pPr>
      <w:rPr>
        <w:rFonts w:ascii="Bookman Old Style" w:eastAsia="Bookman Old Style" w:hAnsi="Bookman Old Style" w:cs="Bookman Old Style" w:hint="default"/>
        <w:b/>
        <w:bCs/>
        <w:i w:val="0"/>
        <w:iCs w:val="0"/>
        <w:spacing w:val="0"/>
        <w:w w:val="118"/>
        <w:sz w:val="18"/>
        <w:szCs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6"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7"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8"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9"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10"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11" w15:restartNumberingAfterBreak="0">
    <w:nsid w:val="53AE7FEA"/>
    <w:multiLevelType w:val="hybridMultilevel"/>
    <w:tmpl w:val="0FC2D1B6"/>
    <w:lvl w:ilvl="0" w:tplc="99668026">
      <w:numFmt w:val="bullet"/>
      <w:lvlText w:val="–"/>
      <w:lvlJc w:val="left"/>
      <w:pPr>
        <w:ind w:left="360" w:hanging="360"/>
      </w:pPr>
      <w:rPr>
        <w:rFonts w:ascii="Bookman Old Style" w:eastAsia="Bookman Old Style" w:hAnsi="Bookman Old Style" w:cs="Bookman Old Style" w:hint="default"/>
        <w:b/>
        <w:bCs/>
        <w:i w:val="0"/>
        <w:iCs w:val="0"/>
        <w:spacing w:val="0"/>
        <w:w w:val="118"/>
        <w:sz w:val="18"/>
        <w:szCs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3"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4" w15:restartNumberingAfterBreak="0">
    <w:nsid w:val="6ADB125E"/>
    <w:multiLevelType w:val="singleLevel"/>
    <w:tmpl w:val="B916025C"/>
    <w:lvl w:ilvl="0">
      <w:numFmt w:val="bullet"/>
      <w:pStyle w:val="Deuximeretrait"/>
      <w:lvlText w:val=""/>
      <w:lvlJc w:val="left"/>
      <w:pPr>
        <w:tabs>
          <w:tab w:val="num" w:pos="1134"/>
        </w:tabs>
        <w:ind w:left="1134" w:hanging="567"/>
      </w:pPr>
      <w:rPr>
        <w:rFonts w:ascii="Symbol" w:hAnsi="Symbol" w:hint="default"/>
      </w:rPr>
    </w:lvl>
  </w:abstractNum>
  <w:abstractNum w:abstractNumId="15"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6" w15:restartNumberingAfterBreak="0">
    <w:nsid w:val="738C177A"/>
    <w:multiLevelType w:val="hybridMultilevel"/>
    <w:tmpl w:val="C6A8928A"/>
    <w:lvl w:ilvl="0" w:tplc="99668026">
      <w:numFmt w:val="bullet"/>
      <w:lvlText w:val="–"/>
      <w:lvlJc w:val="left"/>
      <w:pPr>
        <w:ind w:left="720" w:hanging="360"/>
      </w:pPr>
      <w:rPr>
        <w:rFonts w:ascii="Bookman Old Style" w:eastAsia="Bookman Old Style" w:hAnsi="Bookman Old Style" w:cs="Bookman Old Style" w:hint="default"/>
        <w:b/>
        <w:bCs/>
        <w:i w:val="0"/>
        <w:iCs w:val="0"/>
        <w:spacing w:val="0"/>
        <w:w w:val="118"/>
        <w:sz w:val="18"/>
        <w:szCs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8"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9"/>
  </w:num>
  <w:num w:numId="2">
    <w:abstractNumId w:val="8"/>
  </w:num>
  <w:num w:numId="3">
    <w:abstractNumId w:val="7"/>
  </w:num>
  <w:num w:numId="4">
    <w:abstractNumId w:val="6"/>
  </w:num>
  <w:num w:numId="5">
    <w:abstractNumId w:val="10"/>
  </w:num>
  <w:num w:numId="6">
    <w:abstractNumId w:val="17"/>
  </w:num>
  <w:num w:numId="7">
    <w:abstractNumId w:val="18"/>
  </w:num>
  <w:num w:numId="8">
    <w:abstractNumId w:val="5"/>
  </w:num>
  <w:num w:numId="9">
    <w:abstractNumId w:val="2"/>
  </w:num>
  <w:num w:numId="10">
    <w:abstractNumId w:val="13"/>
  </w:num>
  <w:num w:numId="11">
    <w:abstractNumId w:val="12"/>
  </w:num>
  <w:num w:numId="12">
    <w:abstractNumId w:val="15"/>
  </w:num>
  <w:num w:numId="13">
    <w:abstractNumId w:val="1"/>
  </w:num>
  <w:num w:numId="14">
    <w:abstractNumId w:val="14"/>
  </w:num>
  <w:num w:numId="15">
    <w:abstractNumId w:val="3"/>
  </w:num>
  <w:num w:numId="16">
    <w:abstractNumId w:val="14"/>
  </w:num>
  <w:num w:numId="17">
    <w:abstractNumId w:val="1"/>
  </w:num>
  <w:num w:numId="18">
    <w:abstractNumId w:val="3"/>
  </w:num>
  <w:num w:numId="19">
    <w:abstractNumId w:val="16"/>
  </w:num>
  <w:num w:numId="20">
    <w:abstractNumId w:val="11"/>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fill="f" fillcolor="white" stroke="f">
      <v:fill color="white" on="f"/>
      <v:stroke on="f"/>
    </o:shapedefaults>
  </w:hdrShapeDefaults>
  <w:footnotePr>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04"/>
    <w:rsid w:val="000021DD"/>
    <w:rsid w:val="00004D2B"/>
    <w:rsid w:val="0001032A"/>
    <w:rsid w:val="00021BCA"/>
    <w:rsid w:val="0002298F"/>
    <w:rsid w:val="00023669"/>
    <w:rsid w:val="000251CB"/>
    <w:rsid w:val="00026EC5"/>
    <w:rsid w:val="00033585"/>
    <w:rsid w:val="000370A1"/>
    <w:rsid w:val="000465C9"/>
    <w:rsid w:val="000569F6"/>
    <w:rsid w:val="000A1238"/>
    <w:rsid w:val="000A2610"/>
    <w:rsid w:val="000B24C3"/>
    <w:rsid w:val="000D1BB1"/>
    <w:rsid w:val="000E0AB2"/>
    <w:rsid w:val="000F1A87"/>
    <w:rsid w:val="000F2E1C"/>
    <w:rsid w:val="001006F4"/>
    <w:rsid w:val="00104F21"/>
    <w:rsid w:val="0011269C"/>
    <w:rsid w:val="001153B2"/>
    <w:rsid w:val="00121A6F"/>
    <w:rsid w:val="001567C5"/>
    <w:rsid w:val="00161F92"/>
    <w:rsid w:val="0017006D"/>
    <w:rsid w:val="00172757"/>
    <w:rsid w:val="001813EE"/>
    <w:rsid w:val="001A07D7"/>
    <w:rsid w:val="001A4314"/>
    <w:rsid w:val="001D2A19"/>
    <w:rsid w:val="00213056"/>
    <w:rsid w:val="00232DCA"/>
    <w:rsid w:val="0024634E"/>
    <w:rsid w:val="00252BCD"/>
    <w:rsid w:val="00261EAE"/>
    <w:rsid w:val="0026706D"/>
    <w:rsid w:val="00272937"/>
    <w:rsid w:val="00282124"/>
    <w:rsid w:val="00282FAD"/>
    <w:rsid w:val="0029168C"/>
    <w:rsid w:val="002A3142"/>
    <w:rsid w:val="002A663B"/>
    <w:rsid w:val="002B1B7A"/>
    <w:rsid w:val="002B2A67"/>
    <w:rsid w:val="002B66E8"/>
    <w:rsid w:val="002C3576"/>
    <w:rsid w:val="002F7773"/>
    <w:rsid w:val="003002DC"/>
    <w:rsid w:val="003104EA"/>
    <w:rsid w:val="003118BD"/>
    <w:rsid w:val="00325076"/>
    <w:rsid w:val="00325132"/>
    <w:rsid w:val="00327900"/>
    <w:rsid w:val="00331C6E"/>
    <w:rsid w:val="003405FB"/>
    <w:rsid w:val="003407BC"/>
    <w:rsid w:val="00342CD6"/>
    <w:rsid w:val="00343FF6"/>
    <w:rsid w:val="0035401F"/>
    <w:rsid w:val="00355163"/>
    <w:rsid w:val="00361DE6"/>
    <w:rsid w:val="00372B67"/>
    <w:rsid w:val="0037420A"/>
    <w:rsid w:val="003750AE"/>
    <w:rsid w:val="00376861"/>
    <w:rsid w:val="003B1F46"/>
    <w:rsid w:val="00400A31"/>
    <w:rsid w:val="00422F57"/>
    <w:rsid w:val="00436DF0"/>
    <w:rsid w:val="00445246"/>
    <w:rsid w:val="00450CCF"/>
    <w:rsid w:val="0046077D"/>
    <w:rsid w:val="004611D5"/>
    <w:rsid w:val="004675F4"/>
    <w:rsid w:val="00471015"/>
    <w:rsid w:val="00471CE5"/>
    <w:rsid w:val="004763D5"/>
    <w:rsid w:val="004A31FB"/>
    <w:rsid w:val="004A6F3C"/>
    <w:rsid w:val="004C1FB9"/>
    <w:rsid w:val="004C4EBF"/>
    <w:rsid w:val="004C6BEE"/>
    <w:rsid w:val="004D03CA"/>
    <w:rsid w:val="004D221E"/>
    <w:rsid w:val="004D2DA6"/>
    <w:rsid w:val="004E05F3"/>
    <w:rsid w:val="004E1F28"/>
    <w:rsid w:val="004E2B3B"/>
    <w:rsid w:val="004E44D9"/>
    <w:rsid w:val="004E63E4"/>
    <w:rsid w:val="0051701F"/>
    <w:rsid w:val="00522DD6"/>
    <w:rsid w:val="00527FF5"/>
    <w:rsid w:val="005345AF"/>
    <w:rsid w:val="00536401"/>
    <w:rsid w:val="005431A8"/>
    <w:rsid w:val="005508B7"/>
    <w:rsid w:val="00565476"/>
    <w:rsid w:val="00570EDB"/>
    <w:rsid w:val="005749CB"/>
    <w:rsid w:val="00577828"/>
    <w:rsid w:val="00590BBB"/>
    <w:rsid w:val="0059589F"/>
    <w:rsid w:val="00595EB7"/>
    <w:rsid w:val="00597198"/>
    <w:rsid w:val="005A1B7A"/>
    <w:rsid w:val="005A1FD5"/>
    <w:rsid w:val="005A5E56"/>
    <w:rsid w:val="005B20C7"/>
    <w:rsid w:val="005C24FE"/>
    <w:rsid w:val="005C2838"/>
    <w:rsid w:val="005D36DD"/>
    <w:rsid w:val="005D36F8"/>
    <w:rsid w:val="005D42D7"/>
    <w:rsid w:val="005D7AA9"/>
    <w:rsid w:val="005D7F27"/>
    <w:rsid w:val="005E5DC2"/>
    <w:rsid w:val="005F0892"/>
    <w:rsid w:val="005F4A1C"/>
    <w:rsid w:val="005F5C9B"/>
    <w:rsid w:val="006206CE"/>
    <w:rsid w:val="00623B95"/>
    <w:rsid w:val="00635A0F"/>
    <w:rsid w:val="00635F1D"/>
    <w:rsid w:val="00637585"/>
    <w:rsid w:val="00643F80"/>
    <w:rsid w:val="00652015"/>
    <w:rsid w:val="00653717"/>
    <w:rsid w:val="00653FFD"/>
    <w:rsid w:val="00654B91"/>
    <w:rsid w:val="00656A8B"/>
    <w:rsid w:val="006724B1"/>
    <w:rsid w:val="0067789D"/>
    <w:rsid w:val="00682807"/>
    <w:rsid w:val="006A79AB"/>
    <w:rsid w:val="006B1882"/>
    <w:rsid w:val="006C019C"/>
    <w:rsid w:val="006C47EF"/>
    <w:rsid w:val="006D5D8D"/>
    <w:rsid w:val="006E36B1"/>
    <w:rsid w:val="006E5A09"/>
    <w:rsid w:val="007031EE"/>
    <w:rsid w:val="00717D08"/>
    <w:rsid w:val="00744BCF"/>
    <w:rsid w:val="00744C45"/>
    <w:rsid w:val="0075100B"/>
    <w:rsid w:val="00756C4A"/>
    <w:rsid w:val="00757BB9"/>
    <w:rsid w:val="00760297"/>
    <w:rsid w:val="00761DEC"/>
    <w:rsid w:val="0076291C"/>
    <w:rsid w:val="00765B70"/>
    <w:rsid w:val="0077420D"/>
    <w:rsid w:val="00780CBD"/>
    <w:rsid w:val="00783C7C"/>
    <w:rsid w:val="00787964"/>
    <w:rsid w:val="00787E14"/>
    <w:rsid w:val="007944F2"/>
    <w:rsid w:val="007A2839"/>
    <w:rsid w:val="007B1245"/>
    <w:rsid w:val="007B129A"/>
    <w:rsid w:val="007B5252"/>
    <w:rsid w:val="007B6036"/>
    <w:rsid w:val="007C679A"/>
    <w:rsid w:val="007D06BD"/>
    <w:rsid w:val="007D07CD"/>
    <w:rsid w:val="007D2933"/>
    <w:rsid w:val="007D6956"/>
    <w:rsid w:val="007E0A42"/>
    <w:rsid w:val="007E2C78"/>
    <w:rsid w:val="007E6319"/>
    <w:rsid w:val="007F6E68"/>
    <w:rsid w:val="0083649A"/>
    <w:rsid w:val="00840214"/>
    <w:rsid w:val="00843281"/>
    <w:rsid w:val="00857B50"/>
    <w:rsid w:val="008672B5"/>
    <w:rsid w:val="0087570D"/>
    <w:rsid w:val="00894502"/>
    <w:rsid w:val="00894CD8"/>
    <w:rsid w:val="00894DA0"/>
    <w:rsid w:val="00897E26"/>
    <w:rsid w:val="008A5A68"/>
    <w:rsid w:val="008A6A0F"/>
    <w:rsid w:val="008B1A61"/>
    <w:rsid w:val="008B7E25"/>
    <w:rsid w:val="008C6FD6"/>
    <w:rsid w:val="008D3810"/>
    <w:rsid w:val="008D58D7"/>
    <w:rsid w:val="008E54AA"/>
    <w:rsid w:val="008E6CC5"/>
    <w:rsid w:val="008E7619"/>
    <w:rsid w:val="008E7AC4"/>
    <w:rsid w:val="008F12A9"/>
    <w:rsid w:val="008F1500"/>
    <w:rsid w:val="0091074C"/>
    <w:rsid w:val="00932DC4"/>
    <w:rsid w:val="00942A02"/>
    <w:rsid w:val="009434D3"/>
    <w:rsid w:val="009569DE"/>
    <w:rsid w:val="00957FCD"/>
    <w:rsid w:val="00974119"/>
    <w:rsid w:val="009B449A"/>
    <w:rsid w:val="009B6E86"/>
    <w:rsid w:val="009C0330"/>
    <w:rsid w:val="009C13EF"/>
    <w:rsid w:val="009C5280"/>
    <w:rsid w:val="009C5BD0"/>
    <w:rsid w:val="009D6B63"/>
    <w:rsid w:val="009D77AD"/>
    <w:rsid w:val="009E7ADC"/>
    <w:rsid w:val="009F110E"/>
    <w:rsid w:val="009F36E2"/>
    <w:rsid w:val="00A06C89"/>
    <w:rsid w:val="00A24D01"/>
    <w:rsid w:val="00A26C02"/>
    <w:rsid w:val="00A418A0"/>
    <w:rsid w:val="00A455D1"/>
    <w:rsid w:val="00A53E1E"/>
    <w:rsid w:val="00A5792F"/>
    <w:rsid w:val="00A61B34"/>
    <w:rsid w:val="00A62E9D"/>
    <w:rsid w:val="00A6703E"/>
    <w:rsid w:val="00A73891"/>
    <w:rsid w:val="00A809D7"/>
    <w:rsid w:val="00A90518"/>
    <w:rsid w:val="00A92377"/>
    <w:rsid w:val="00AA01D2"/>
    <w:rsid w:val="00AA61ED"/>
    <w:rsid w:val="00AA7A6C"/>
    <w:rsid w:val="00AB7653"/>
    <w:rsid w:val="00AC2359"/>
    <w:rsid w:val="00AE0D85"/>
    <w:rsid w:val="00AE2BF2"/>
    <w:rsid w:val="00AE3890"/>
    <w:rsid w:val="00B00E04"/>
    <w:rsid w:val="00B00E3F"/>
    <w:rsid w:val="00B010D9"/>
    <w:rsid w:val="00B11447"/>
    <w:rsid w:val="00B1711E"/>
    <w:rsid w:val="00B2221C"/>
    <w:rsid w:val="00B262DA"/>
    <w:rsid w:val="00B30CB2"/>
    <w:rsid w:val="00B40E14"/>
    <w:rsid w:val="00B458DD"/>
    <w:rsid w:val="00B7190D"/>
    <w:rsid w:val="00B80B26"/>
    <w:rsid w:val="00B838AD"/>
    <w:rsid w:val="00B86608"/>
    <w:rsid w:val="00BA404F"/>
    <w:rsid w:val="00BA5BFB"/>
    <w:rsid w:val="00BB3ACD"/>
    <w:rsid w:val="00BC0807"/>
    <w:rsid w:val="00BC1442"/>
    <w:rsid w:val="00BC4919"/>
    <w:rsid w:val="00BC507E"/>
    <w:rsid w:val="00BE45E5"/>
    <w:rsid w:val="00BF2822"/>
    <w:rsid w:val="00BF2F28"/>
    <w:rsid w:val="00BF5B9E"/>
    <w:rsid w:val="00C0653D"/>
    <w:rsid w:val="00C06D24"/>
    <w:rsid w:val="00C13679"/>
    <w:rsid w:val="00C17350"/>
    <w:rsid w:val="00C21452"/>
    <w:rsid w:val="00C258AA"/>
    <w:rsid w:val="00C2769E"/>
    <w:rsid w:val="00C35110"/>
    <w:rsid w:val="00C402AE"/>
    <w:rsid w:val="00C52F1D"/>
    <w:rsid w:val="00C71055"/>
    <w:rsid w:val="00C74B88"/>
    <w:rsid w:val="00C903B8"/>
    <w:rsid w:val="00C91301"/>
    <w:rsid w:val="00C91C2F"/>
    <w:rsid w:val="00CA3D20"/>
    <w:rsid w:val="00CB2F6E"/>
    <w:rsid w:val="00CB2FA6"/>
    <w:rsid w:val="00CC0402"/>
    <w:rsid w:val="00CC3161"/>
    <w:rsid w:val="00CC7367"/>
    <w:rsid w:val="00CD03E7"/>
    <w:rsid w:val="00CE2270"/>
    <w:rsid w:val="00CF3F12"/>
    <w:rsid w:val="00D154F8"/>
    <w:rsid w:val="00D3589B"/>
    <w:rsid w:val="00D5013D"/>
    <w:rsid w:val="00D50254"/>
    <w:rsid w:val="00D61B31"/>
    <w:rsid w:val="00D64064"/>
    <w:rsid w:val="00D70732"/>
    <w:rsid w:val="00D73262"/>
    <w:rsid w:val="00D73A0A"/>
    <w:rsid w:val="00DA49AB"/>
    <w:rsid w:val="00DA646A"/>
    <w:rsid w:val="00DB7EC0"/>
    <w:rsid w:val="00DC4D86"/>
    <w:rsid w:val="00DD2E17"/>
    <w:rsid w:val="00E048A5"/>
    <w:rsid w:val="00E04D2B"/>
    <w:rsid w:val="00E07D80"/>
    <w:rsid w:val="00E10CD5"/>
    <w:rsid w:val="00E270C8"/>
    <w:rsid w:val="00E31D00"/>
    <w:rsid w:val="00E3301C"/>
    <w:rsid w:val="00E3448B"/>
    <w:rsid w:val="00E34D5B"/>
    <w:rsid w:val="00E72B05"/>
    <w:rsid w:val="00E76C5C"/>
    <w:rsid w:val="00E82263"/>
    <w:rsid w:val="00E8525A"/>
    <w:rsid w:val="00EB2414"/>
    <w:rsid w:val="00ED183A"/>
    <w:rsid w:val="00ED63F7"/>
    <w:rsid w:val="00ED6707"/>
    <w:rsid w:val="00ED7E1E"/>
    <w:rsid w:val="00EE1E5F"/>
    <w:rsid w:val="00EE2A54"/>
    <w:rsid w:val="00F11A72"/>
    <w:rsid w:val="00F13542"/>
    <w:rsid w:val="00F15570"/>
    <w:rsid w:val="00F15EB7"/>
    <w:rsid w:val="00F177AC"/>
    <w:rsid w:val="00F327A1"/>
    <w:rsid w:val="00F33A54"/>
    <w:rsid w:val="00F521BF"/>
    <w:rsid w:val="00F6214A"/>
    <w:rsid w:val="00F62978"/>
    <w:rsid w:val="00F639BA"/>
    <w:rsid w:val="00F87364"/>
    <w:rsid w:val="00F87A5B"/>
    <w:rsid w:val="00F963C3"/>
    <w:rsid w:val="00FA2EFC"/>
    <w:rsid w:val="00FB4B14"/>
    <w:rsid w:val="00FC527F"/>
    <w:rsid w:val="00FC5E68"/>
    <w:rsid w:val="00FD4FD5"/>
    <w:rsid w:val="00FE2BD4"/>
    <w:rsid w:val="00FE3A1B"/>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fill="f" fillcolor="white" stroke="f">
      <v:fill color="white" on="f"/>
      <v:stroke on="f"/>
    </o:shapedefaults>
    <o:shapelayout v:ext="edit">
      <o:idmap v:ext="edit" data="1"/>
    </o:shapelayout>
  </w:shapeDefaults>
  <w:decimalSymbol w:val=","/>
  <w:listSeparator w:val=";"/>
  <w14:docId w14:val="02F27D92"/>
  <w15:docId w15:val="{D6D03DF5-F580-4089-AB3F-50D14CB9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0B26"/>
    <w:pPr>
      <w:spacing w:line="240" w:lineRule="atLeast"/>
    </w:pPr>
    <w:rPr>
      <w:rFonts w:ascii="Arial" w:hAnsi="Arial"/>
      <w:lang w:val="fr-FR" w:eastAsia="fr-CH"/>
    </w:rPr>
  </w:style>
  <w:style w:type="paragraph" w:styleId="Titre1">
    <w:name w:val="heading 1"/>
    <w:basedOn w:val="Normal"/>
    <w:next w:val="Textedebase"/>
    <w:qFormat/>
    <w:pPr>
      <w:ind w:left="567" w:hanging="567"/>
      <w:jc w:val="both"/>
      <w:outlineLvl w:val="0"/>
    </w:pPr>
    <w:rPr>
      <w:b/>
      <w:bCs/>
    </w:rPr>
  </w:style>
  <w:style w:type="paragraph" w:styleId="Titre2">
    <w:name w:val="heading 2"/>
    <w:basedOn w:val="Normal"/>
    <w:next w:val="Textedebase"/>
    <w:qFormat/>
    <w:pPr>
      <w:ind w:left="567" w:hanging="567"/>
      <w:jc w:val="both"/>
      <w:outlineLvl w:val="1"/>
    </w:pPr>
    <w:rPr>
      <w:i/>
      <w:iCs/>
    </w:rPr>
  </w:style>
  <w:style w:type="paragraph" w:styleId="Titre3">
    <w:name w:val="heading 3"/>
    <w:basedOn w:val="Normal"/>
    <w:next w:val="Textedebase"/>
    <w:qFormat/>
    <w:pPr>
      <w:tabs>
        <w:tab w:val="left" w:pos="567"/>
      </w:tabs>
      <w:jc w:val="both"/>
      <w:outlineLvl w:val="2"/>
    </w:pPr>
  </w:style>
  <w:style w:type="paragraph" w:styleId="Titre4">
    <w:name w:val="heading 4"/>
    <w:basedOn w:val="Normal"/>
    <w:next w:val="Normal"/>
    <w:qFormat/>
    <w:rsid w:val="0035401F"/>
    <w:pPr>
      <w:outlineLvl w:val="3"/>
    </w:pPr>
    <w:rPr>
      <w:rFonts w:cs="Arial"/>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942A02"/>
    <w:rPr>
      <w:rFonts w:ascii="Arial" w:hAnsi="Arial"/>
      <w:b w:val="0"/>
      <w:sz w:val="20"/>
      <w:szCs w:val="20"/>
      <w:vertAlign w:val="superscript"/>
      <w:lang w:val="fr-FR" w:eastAsia="fr-CH" w:bidi="ar-SA"/>
    </w:rPr>
  </w:style>
  <w:style w:type="paragraph" w:customStyle="1" w:styleId="2Texte">
    <w:name w:val="2 (Texte)"/>
    <w:basedOn w:val="Normal"/>
    <w:pPr>
      <w:jc w:val="both"/>
    </w:pPr>
    <w:rPr>
      <w:snapToGrid w:val="0"/>
      <w:lang w:eastAsia="fr-FR"/>
    </w:rPr>
  </w:style>
  <w:style w:type="paragraph" w:customStyle="1" w:styleId="Textedebase">
    <w:name w:val="Texte de base"/>
    <w:basedOn w:val="Normal"/>
    <w:rsid w:val="00AE0D85"/>
    <w:pPr>
      <w:jc w:val="both"/>
    </w:pPr>
  </w:style>
  <w:style w:type="paragraph" w:customStyle="1" w:styleId="Premierretrait">
    <w:name w:val="Premier retrait"/>
    <w:basedOn w:val="Textedebase"/>
    <w:rsid w:val="00445246"/>
    <w:pPr>
      <w:numPr>
        <w:numId w:val="17"/>
      </w:numPr>
      <w:spacing w:before="120"/>
    </w:pPr>
  </w:style>
  <w:style w:type="paragraph" w:customStyle="1" w:styleId="Deuximeretrait">
    <w:name w:val="Deuxième retrait"/>
    <w:basedOn w:val="Textedebase"/>
    <w:pPr>
      <w:numPr>
        <w:numId w:val="16"/>
      </w:numPr>
      <w:spacing w:before="120"/>
    </w:pPr>
  </w:style>
  <w:style w:type="paragraph" w:customStyle="1" w:styleId="Troisimeretrait">
    <w:name w:val="Troisième retrait"/>
    <w:basedOn w:val="Textedebase"/>
    <w:rsid w:val="00445246"/>
    <w:pPr>
      <w:numPr>
        <w:numId w:val="18"/>
      </w:numPr>
      <w:spacing w:before="120"/>
    </w:pPr>
  </w:style>
  <w:style w:type="paragraph" w:customStyle="1" w:styleId="Datesignature">
    <w:name w:val="Date+signature"/>
    <w:basedOn w:val="Normal"/>
    <w:rsid w:val="006206CE"/>
    <w:pPr>
      <w:tabs>
        <w:tab w:val="left" w:pos="5500"/>
      </w:tabs>
    </w:pPr>
    <w:rPr>
      <w:noProof/>
    </w:rPr>
  </w:style>
  <w:style w:type="paragraph" w:styleId="Notedebasdepage">
    <w:name w:val="footnote text"/>
    <w:basedOn w:val="Normal"/>
    <w:semiHidden/>
    <w:rsid w:val="00ED6707"/>
    <w:pPr>
      <w:spacing w:line="240" w:lineRule="auto"/>
      <w:jc w:val="both"/>
    </w:pPr>
    <w:rPr>
      <w:sz w:val="18"/>
      <w:szCs w:val="18"/>
    </w:rPr>
  </w:style>
  <w:style w:type="paragraph" w:styleId="Pieddepage">
    <w:name w:val="footer"/>
    <w:basedOn w:val="Normal"/>
    <w:rsid w:val="009F110E"/>
    <w:pPr>
      <w:tabs>
        <w:tab w:val="center" w:pos="4536"/>
        <w:tab w:val="right" w:pos="9072"/>
      </w:tabs>
    </w:pPr>
  </w:style>
  <w:style w:type="paragraph" w:styleId="En-tte">
    <w:name w:val="header"/>
    <w:basedOn w:val="Normal"/>
    <w:pPr>
      <w:tabs>
        <w:tab w:val="center" w:pos="4536"/>
        <w:tab w:val="right" w:pos="9072"/>
      </w:tabs>
    </w:pPr>
  </w:style>
  <w:style w:type="paragraph" w:styleId="Notedefin">
    <w:name w:val="endnote text"/>
    <w:basedOn w:val="Normal"/>
    <w:semiHidden/>
    <w:pPr>
      <w:spacing w:line="240" w:lineRule="auto"/>
      <w:ind w:left="284" w:hanging="284"/>
      <w:jc w:val="both"/>
    </w:pPr>
    <w:rPr>
      <w:sz w:val="18"/>
      <w:szCs w:val="18"/>
    </w:rPr>
  </w:style>
  <w:style w:type="character" w:styleId="Appeldenotedefin">
    <w:name w:val="endnote reference"/>
    <w:semiHidden/>
    <w:rPr>
      <w:rFonts w:ascii="Arial" w:hAnsi="Arial"/>
      <w:b/>
      <w:sz w:val="20"/>
      <w:szCs w:val="20"/>
      <w:vertAlign w:val="superscript"/>
      <w:lang w:val="fr-FR" w:eastAsia="fr-CH" w:bidi="ar-SA"/>
    </w:rPr>
  </w:style>
  <w:style w:type="paragraph" w:styleId="TM9">
    <w:name w:val="toc 9"/>
    <w:basedOn w:val="Normal"/>
    <w:next w:val="Normal"/>
    <w:autoRedefine/>
    <w:semiHidden/>
    <w:rsid w:val="00843281"/>
    <w:pPr>
      <w:tabs>
        <w:tab w:val="left" w:pos="1620"/>
      </w:tabs>
      <w:autoSpaceDE w:val="0"/>
      <w:autoSpaceDN w:val="0"/>
      <w:adjustRightInd w:val="0"/>
      <w:jc w:val="both"/>
    </w:pPr>
    <w:rPr>
      <w:rFonts w:cs="Arial"/>
    </w:rPr>
  </w:style>
  <w:style w:type="paragraph" w:styleId="Textedebulles">
    <w:name w:val="Balloon Text"/>
    <w:basedOn w:val="Normal"/>
    <w:semiHidden/>
    <w:rsid w:val="00A5792F"/>
    <w:rPr>
      <w:rFonts w:ascii="Tahoma" w:hAnsi="Tahoma" w:cs="Tahoma"/>
      <w:sz w:val="16"/>
      <w:szCs w:val="16"/>
    </w:rPr>
  </w:style>
  <w:style w:type="paragraph" w:customStyle="1" w:styleId="Barredanslamarge">
    <w:name w:val="Barre dans la marge"/>
    <w:basedOn w:val="Normal"/>
    <w:rsid w:val="0001032A"/>
    <w:pPr>
      <w:autoSpaceDE w:val="0"/>
      <w:autoSpaceDN w:val="0"/>
      <w:adjustRightInd w:val="0"/>
      <w:jc w:val="both"/>
    </w:pPr>
    <w:rPr>
      <w:rFonts w:cs="Arial"/>
    </w:rPr>
  </w:style>
  <w:style w:type="paragraph" w:customStyle="1" w:styleId="Deuximeretraittableau">
    <w:name w:val="Deuxième retrait tableau"/>
    <w:basedOn w:val="Deuximeretrait"/>
    <w:qFormat/>
    <w:rsid w:val="00471015"/>
    <w:pPr>
      <w:tabs>
        <w:tab w:val="clear" w:pos="1134"/>
        <w:tab w:val="left" w:pos="567"/>
      </w:tabs>
      <w:spacing w:before="60" w:after="60"/>
      <w:ind w:left="568" w:hanging="284"/>
    </w:pPr>
  </w:style>
  <w:style w:type="paragraph" w:customStyle="1" w:styleId="Premierretraittableau">
    <w:name w:val="Premier retrait tableau"/>
    <w:basedOn w:val="Premierretrait"/>
    <w:qFormat/>
    <w:rsid w:val="00B80B26"/>
    <w:pPr>
      <w:tabs>
        <w:tab w:val="clear" w:pos="567"/>
        <w:tab w:val="left" w:pos="284"/>
      </w:tabs>
      <w:spacing w:before="60" w:after="60"/>
      <w:ind w:left="284" w:hanging="284"/>
    </w:pPr>
  </w:style>
  <w:style w:type="paragraph" w:customStyle="1" w:styleId="TroisimeretraitTableau">
    <w:name w:val="Troisième retrait Tableau"/>
    <w:basedOn w:val="Troisimeretrait"/>
    <w:qFormat/>
    <w:rsid w:val="00471015"/>
    <w:pPr>
      <w:tabs>
        <w:tab w:val="clear" w:pos="1701"/>
        <w:tab w:val="left" w:pos="851"/>
      </w:tabs>
      <w:spacing w:before="60" w:after="60"/>
      <w:ind w:left="851" w:hanging="284"/>
    </w:pPr>
  </w:style>
  <w:style w:type="paragraph" w:customStyle="1" w:styleId="0Textedebase">
    <w:name w:val="0 Texte de base"/>
    <w:basedOn w:val="Normal"/>
    <w:link w:val="0TextedebaseChar"/>
    <w:rsid w:val="00B00E04"/>
    <w:pPr>
      <w:spacing w:line="240" w:lineRule="exact"/>
      <w:jc w:val="both"/>
    </w:pPr>
  </w:style>
  <w:style w:type="character" w:customStyle="1" w:styleId="0TextedebaseChar">
    <w:name w:val="0 Texte de base Char"/>
    <w:basedOn w:val="Policepardfaut"/>
    <w:link w:val="0Textedebase"/>
    <w:rsid w:val="00B00E04"/>
    <w:rPr>
      <w:rFonts w:ascii="Arial" w:hAnsi="Arial"/>
      <w:lang w:val="fr-FR" w:eastAsia="fr-CH"/>
    </w:rPr>
  </w:style>
  <w:style w:type="paragraph" w:customStyle="1" w:styleId="1Premierretrait">
    <w:name w:val="1 Premier retrait"/>
    <w:basedOn w:val="0Textedebase"/>
    <w:link w:val="1PremierretraitChar"/>
    <w:rsid w:val="00B00E04"/>
    <w:pPr>
      <w:tabs>
        <w:tab w:val="num" w:pos="567"/>
      </w:tabs>
      <w:spacing w:before="120"/>
      <w:ind w:left="567" w:hanging="567"/>
    </w:pPr>
  </w:style>
  <w:style w:type="paragraph" w:customStyle="1" w:styleId="3Troisimeretrait">
    <w:name w:val="3 Troisième retrait"/>
    <w:basedOn w:val="0Textedebase"/>
    <w:rsid w:val="00B00E04"/>
    <w:pPr>
      <w:tabs>
        <w:tab w:val="num" w:pos="1701"/>
      </w:tabs>
      <w:spacing w:before="120"/>
      <w:ind w:left="1701" w:hanging="567"/>
    </w:pPr>
  </w:style>
  <w:style w:type="character" w:styleId="Lienhypertexte">
    <w:name w:val="Hyperlink"/>
    <w:basedOn w:val="Policepardfaut"/>
    <w:uiPriority w:val="99"/>
    <w:unhideWhenUsed/>
    <w:rsid w:val="00B00E04"/>
    <w:rPr>
      <w:color w:val="0000FF" w:themeColor="hyperlink"/>
      <w:u w:val="single"/>
    </w:rPr>
  </w:style>
  <w:style w:type="character" w:customStyle="1" w:styleId="1PremierretraitChar">
    <w:name w:val="1 Premier retrait Char"/>
    <w:basedOn w:val="0TextedebaseChar"/>
    <w:link w:val="1Premierretrait"/>
    <w:rsid w:val="00B00E04"/>
    <w:rPr>
      <w:rFonts w:ascii="Arial" w:hAnsi="Arial"/>
      <w:lang w:val="fr-FR" w:eastAsia="fr-CH"/>
    </w:rPr>
  </w:style>
  <w:style w:type="paragraph" w:customStyle="1" w:styleId="paragraph">
    <w:name w:val="paragraph"/>
    <w:basedOn w:val="Normal"/>
    <w:rsid w:val="00B00E04"/>
    <w:pPr>
      <w:spacing w:before="100" w:beforeAutospacing="1" w:after="100" w:afterAutospacing="1" w:line="240" w:lineRule="auto"/>
    </w:pPr>
    <w:rPr>
      <w:rFonts w:ascii="Times New Roman" w:hAnsi="Times New Roman"/>
      <w:sz w:val="24"/>
      <w:szCs w:val="24"/>
      <w:lang w:eastAsia="en-US"/>
    </w:rPr>
  </w:style>
  <w:style w:type="character" w:customStyle="1" w:styleId="normaltextrun">
    <w:name w:val="normaltextrun"/>
    <w:basedOn w:val="Policepardfaut"/>
    <w:rsid w:val="00B00E04"/>
  </w:style>
  <w:style w:type="character" w:customStyle="1" w:styleId="eop">
    <w:name w:val="eop"/>
    <w:basedOn w:val="Policepardfaut"/>
    <w:rsid w:val="00B00E04"/>
  </w:style>
  <w:style w:type="paragraph" w:styleId="Paragraphedeliste">
    <w:name w:val="List Paragraph"/>
    <w:basedOn w:val="Normal"/>
    <w:uiPriority w:val="34"/>
    <w:qFormat/>
    <w:rsid w:val="00B00E04"/>
    <w:pPr>
      <w:spacing w:line="240" w:lineRule="exact"/>
      <w:ind w:left="720"/>
      <w:contextualSpacing/>
    </w:pPr>
  </w:style>
  <w:style w:type="character" w:styleId="Mentionnonrsolue">
    <w:name w:val="Unresolved Mention"/>
    <w:basedOn w:val="Policepardfaut"/>
    <w:uiPriority w:val="99"/>
    <w:semiHidden/>
    <w:unhideWhenUsed/>
    <w:rsid w:val="00597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6148">
      <w:bodyDiv w:val="1"/>
      <w:marLeft w:val="0"/>
      <w:marRight w:val="0"/>
      <w:marTop w:val="0"/>
      <w:marBottom w:val="0"/>
      <w:divBdr>
        <w:top w:val="none" w:sz="0" w:space="0" w:color="auto"/>
        <w:left w:val="none" w:sz="0" w:space="0" w:color="auto"/>
        <w:bottom w:val="none" w:sz="0" w:space="0" w:color="auto"/>
        <w:right w:val="none" w:sz="0" w:space="0" w:color="auto"/>
      </w:divBdr>
    </w:div>
    <w:div w:id="175270471">
      <w:bodyDiv w:val="1"/>
      <w:marLeft w:val="0"/>
      <w:marRight w:val="0"/>
      <w:marTop w:val="0"/>
      <w:marBottom w:val="0"/>
      <w:divBdr>
        <w:top w:val="none" w:sz="0" w:space="0" w:color="auto"/>
        <w:left w:val="none" w:sz="0" w:space="0" w:color="auto"/>
        <w:bottom w:val="none" w:sz="0" w:space="0" w:color="auto"/>
        <w:right w:val="none" w:sz="0" w:space="0" w:color="auto"/>
      </w:divBdr>
    </w:div>
    <w:div w:id="941836853">
      <w:bodyDiv w:val="1"/>
      <w:marLeft w:val="0"/>
      <w:marRight w:val="0"/>
      <w:marTop w:val="0"/>
      <w:marBottom w:val="0"/>
      <w:divBdr>
        <w:top w:val="none" w:sz="0" w:space="0" w:color="auto"/>
        <w:left w:val="none" w:sz="0" w:space="0" w:color="auto"/>
        <w:bottom w:val="none" w:sz="0" w:space="0" w:color="auto"/>
        <w:right w:val="none" w:sz="0" w:space="0" w:color="auto"/>
      </w:divBdr>
    </w:div>
    <w:div w:id="1155609354">
      <w:bodyDiv w:val="1"/>
      <w:marLeft w:val="0"/>
      <w:marRight w:val="0"/>
      <w:marTop w:val="0"/>
      <w:marBottom w:val="0"/>
      <w:divBdr>
        <w:top w:val="none" w:sz="0" w:space="0" w:color="auto"/>
        <w:left w:val="none" w:sz="0" w:space="0" w:color="auto"/>
        <w:bottom w:val="none" w:sz="0" w:space="0" w:color="auto"/>
        <w:right w:val="none" w:sz="0" w:space="0" w:color="auto"/>
      </w:divBdr>
    </w:div>
    <w:div w:id="1716420364">
      <w:bodyDiv w:val="1"/>
      <w:marLeft w:val="0"/>
      <w:marRight w:val="0"/>
      <w:marTop w:val="0"/>
      <w:marBottom w:val="0"/>
      <w:divBdr>
        <w:top w:val="none" w:sz="0" w:space="0" w:color="auto"/>
        <w:left w:val="none" w:sz="0" w:space="0" w:color="auto"/>
        <w:bottom w:val="none" w:sz="0" w:space="0" w:color="auto"/>
        <w:right w:val="none" w:sz="0" w:space="0" w:color="auto"/>
      </w:divBdr>
    </w:div>
    <w:div w:id="206054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pu.int/fr/union-postale-universelle/activites/services-financiers" TargetMode="Externa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TAF@upu.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ITAF@upu.int"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FITAF@upu.in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share\templates\CEP-CA-Congr&#232;s%20-%20POC-CA-Congress\CEP-CA%20-%20POC-CA\FR%20Modeles\FR%20Do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Props1.xml><?xml version="1.0" encoding="utf-8"?>
<ds:datastoreItem xmlns:ds="http://schemas.openxmlformats.org/officeDocument/2006/customXml" ds:itemID="{49B6D4E2-69F1-4F41-B86E-13D6ADEC46BD}">
  <ds:schemaRefs>
    <ds:schemaRef ds:uri="http://schemas.openxmlformats.org/officeDocument/2006/bibliography"/>
  </ds:schemaRefs>
</ds:datastoreItem>
</file>

<file path=customXml/itemProps2.xml><?xml version="1.0" encoding="utf-8"?>
<ds:datastoreItem xmlns:ds="http://schemas.openxmlformats.org/officeDocument/2006/customXml" ds:itemID="{9CCCD236-8821-4EEE-847C-F8235BB33F27}"/>
</file>

<file path=customXml/itemProps3.xml><?xml version="1.0" encoding="utf-8"?>
<ds:datastoreItem xmlns:ds="http://schemas.openxmlformats.org/officeDocument/2006/customXml" ds:itemID="{9F142BFA-6DB8-4B95-8E74-2087C5429000}"/>
</file>

<file path=customXml/itemProps4.xml><?xml version="1.0" encoding="utf-8"?>
<ds:datastoreItem xmlns:ds="http://schemas.openxmlformats.org/officeDocument/2006/customXml" ds:itemID="{2A2ED862-5418-4FFE-BD93-BFF18721F614}"/>
</file>

<file path=docProps/app.xml><?xml version="1.0" encoding="utf-8"?>
<Properties xmlns="http://schemas.openxmlformats.org/officeDocument/2006/extended-properties" xmlns:vt="http://schemas.openxmlformats.org/officeDocument/2006/docPropsVTypes">
  <Template>FR Doc</Template>
  <TotalTime>26</TotalTime>
  <Pages>5</Pages>
  <Words>1595</Words>
  <Characters>10166</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X</vt:lpstr>
    </vt:vector>
  </TitlesOfParts>
  <Company>Union postal universelle (UPU)</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CERISON tiziana</dc:creator>
  <cp:lastModifiedBy>CERISON tiziana</cp:lastModifiedBy>
  <cp:revision>5</cp:revision>
  <cp:lastPrinted>2009-05-26T10:43:00Z</cp:lastPrinted>
  <dcterms:created xsi:type="dcterms:W3CDTF">2025-07-15T12:48:00Z</dcterms:created>
  <dcterms:modified xsi:type="dcterms:W3CDTF">2025-07-16T07:19:00Z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ies>
</file>