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0232" w14:textId="77777777" w:rsidR="00B66A9C" w:rsidRPr="00F379A3" w:rsidRDefault="00B66A9C" w:rsidP="00B66A9C">
      <w:pPr>
        <w:rPr>
          <w:rFonts w:cs="Arial"/>
          <w:sz w:val="24"/>
          <w:szCs w:val="24"/>
          <w:lang w:val="es-ES_tradnl" w:eastAsia="zh-CN"/>
        </w:rPr>
      </w:pPr>
    </w:p>
    <w:p w14:paraId="4D301A22" w14:textId="77777777" w:rsidR="00B66A9C" w:rsidRPr="00F379A3" w:rsidRDefault="00B66A9C" w:rsidP="00B66A9C">
      <w:pPr>
        <w:pStyle w:val="0Textedebase"/>
        <w:ind w:left="1418" w:hanging="1418"/>
        <w:rPr>
          <w:rFonts w:cs="Arial"/>
          <w:sz w:val="24"/>
          <w:szCs w:val="24"/>
          <w:lang w:val="es-ES_tradnl" w:eastAsia="zh-CN"/>
        </w:rPr>
      </w:pPr>
    </w:p>
    <w:p w14:paraId="496763F7" w14:textId="77777777" w:rsidR="00B66A9C" w:rsidRPr="00F379A3" w:rsidRDefault="00B66A9C" w:rsidP="00B66A9C">
      <w:pPr>
        <w:pStyle w:val="0Textedebase"/>
        <w:ind w:left="1418" w:hanging="1418"/>
        <w:rPr>
          <w:rFonts w:cs="Arial"/>
          <w:sz w:val="24"/>
          <w:szCs w:val="24"/>
          <w:lang w:val="es-ES_tradnl" w:eastAsia="zh-CN"/>
        </w:rPr>
      </w:pPr>
    </w:p>
    <w:p w14:paraId="1E72DDDD" w14:textId="77777777" w:rsidR="00B66A9C" w:rsidRPr="00F379A3" w:rsidRDefault="00B66A9C" w:rsidP="00B66A9C">
      <w:pPr>
        <w:pStyle w:val="0Textedebase"/>
        <w:ind w:left="1418" w:hanging="1418"/>
        <w:rPr>
          <w:rFonts w:cs="Arial"/>
          <w:sz w:val="24"/>
          <w:szCs w:val="24"/>
          <w:lang w:val="es-ES_tradnl" w:eastAsia="zh-CN"/>
        </w:rPr>
      </w:pPr>
    </w:p>
    <w:p w14:paraId="37B626AD" w14:textId="77777777" w:rsidR="00B66A9C" w:rsidRPr="00F379A3" w:rsidRDefault="00B66A9C" w:rsidP="00B66A9C">
      <w:pPr>
        <w:pStyle w:val="0Textedebase"/>
        <w:ind w:left="1418" w:hanging="1418"/>
        <w:rPr>
          <w:rFonts w:cs="Arial"/>
          <w:sz w:val="24"/>
          <w:szCs w:val="24"/>
          <w:lang w:val="es-ES_tradnl" w:eastAsia="zh-CN"/>
        </w:rPr>
      </w:pPr>
    </w:p>
    <w:p w14:paraId="61F687F2" w14:textId="77777777" w:rsidR="00B66A9C" w:rsidRPr="00F379A3" w:rsidRDefault="00B66A9C" w:rsidP="00B66A9C">
      <w:pPr>
        <w:pStyle w:val="0Textedebase"/>
        <w:ind w:left="1418" w:hanging="1418"/>
        <w:rPr>
          <w:rFonts w:cs="Arial"/>
          <w:sz w:val="24"/>
          <w:szCs w:val="24"/>
          <w:lang w:val="es-ES_tradnl" w:eastAsia="zh-CN"/>
        </w:rPr>
      </w:pPr>
    </w:p>
    <w:p w14:paraId="49CA4B98" w14:textId="77777777" w:rsidR="00B66A9C" w:rsidRPr="00F379A3" w:rsidRDefault="00B66A9C" w:rsidP="00B66A9C">
      <w:pPr>
        <w:pStyle w:val="0Textedebase"/>
        <w:ind w:left="1418" w:hanging="1418"/>
        <w:rPr>
          <w:rFonts w:cs="Arial"/>
          <w:sz w:val="24"/>
          <w:szCs w:val="24"/>
          <w:lang w:val="es-ES_tradnl" w:eastAsia="zh-CN"/>
        </w:rPr>
      </w:pPr>
    </w:p>
    <w:p w14:paraId="70C2E9A5" w14:textId="77777777" w:rsidR="00B66A9C" w:rsidRPr="00F379A3" w:rsidRDefault="00B66A9C" w:rsidP="00B66A9C">
      <w:pPr>
        <w:pStyle w:val="0Textedebase"/>
        <w:ind w:left="1418" w:hanging="1418"/>
        <w:rPr>
          <w:rFonts w:cs="Arial"/>
          <w:sz w:val="24"/>
          <w:szCs w:val="24"/>
          <w:lang w:val="es-ES_tradnl" w:eastAsia="zh-CN"/>
        </w:rPr>
      </w:pPr>
    </w:p>
    <w:p w14:paraId="008A6092" w14:textId="77777777" w:rsidR="00B66A9C" w:rsidRPr="00F379A3" w:rsidRDefault="00B66A9C" w:rsidP="00B66A9C">
      <w:pPr>
        <w:pStyle w:val="0Textedebase"/>
        <w:ind w:left="1418" w:hanging="1418"/>
        <w:rPr>
          <w:rFonts w:cs="Arial"/>
          <w:sz w:val="24"/>
          <w:szCs w:val="24"/>
          <w:lang w:val="es-ES_tradnl" w:eastAsia="zh-CN"/>
        </w:rPr>
      </w:pPr>
    </w:p>
    <w:p w14:paraId="57A77DCE" w14:textId="77777777" w:rsidR="00B66A9C" w:rsidRPr="00F379A3" w:rsidRDefault="00B66A9C" w:rsidP="00B66A9C">
      <w:pPr>
        <w:pStyle w:val="0Textedebase"/>
        <w:spacing w:after="180"/>
        <w:ind w:left="1418" w:hanging="1418"/>
        <w:rPr>
          <w:rFonts w:cs="Arial"/>
          <w:sz w:val="24"/>
          <w:szCs w:val="24"/>
          <w:lang w:val="es-ES_tradnl" w:eastAsia="zh-CN"/>
        </w:rPr>
      </w:pPr>
    </w:p>
    <w:p w14:paraId="4F922D97" w14:textId="77777777" w:rsidR="00B66A9C" w:rsidRPr="00F379A3" w:rsidRDefault="00B66A9C" w:rsidP="00B66A9C">
      <w:pPr>
        <w:pStyle w:val="0Textedebase"/>
        <w:rPr>
          <w:rFonts w:cs="Arial"/>
          <w:b/>
          <w:bCs/>
          <w:sz w:val="56"/>
          <w:szCs w:val="56"/>
          <w:lang w:val="es-ES_tradnl"/>
        </w:rPr>
      </w:pPr>
      <w:r w:rsidRPr="00F379A3">
        <w:rPr>
          <w:b/>
          <w:sz w:val="56"/>
          <w:szCs w:val="56"/>
          <w:lang w:val="es-ES_tradnl"/>
        </w:rPr>
        <w:t>Convocatoria de proyectos 2025</w:t>
      </w:r>
    </w:p>
    <w:p w14:paraId="35EBD26C" w14:textId="77777777" w:rsidR="00B66A9C" w:rsidRPr="00F379A3" w:rsidRDefault="00B66A9C" w:rsidP="00B66A9C">
      <w:pPr>
        <w:pStyle w:val="0Textedebase"/>
        <w:rPr>
          <w:rFonts w:cs="Arial"/>
          <w:sz w:val="32"/>
          <w:szCs w:val="32"/>
          <w:lang w:val="es-ES_tradnl"/>
        </w:rPr>
      </w:pPr>
    </w:p>
    <w:p w14:paraId="32F44789" w14:textId="77777777" w:rsidR="00B66A9C" w:rsidRPr="00F379A3" w:rsidRDefault="00B66A9C" w:rsidP="00B66A9C">
      <w:pPr>
        <w:pStyle w:val="0Textedebase"/>
        <w:rPr>
          <w:rFonts w:cs="Arial"/>
          <w:sz w:val="32"/>
          <w:szCs w:val="32"/>
          <w:lang w:val="es-ES_tradnl"/>
        </w:rPr>
      </w:pPr>
    </w:p>
    <w:p w14:paraId="6069257D" w14:textId="748B8837" w:rsidR="00B66A9C" w:rsidRPr="00F379A3" w:rsidRDefault="00B66A9C" w:rsidP="00B66A9C">
      <w:pPr>
        <w:pStyle w:val="0Textedebase"/>
        <w:rPr>
          <w:rFonts w:cs="Arial"/>
          <w:b/>
          <w:bCs/>
          <w:sz w:val="32"/>
          <w:szCs w:val="32"/>
          <w:lang w:val="es-ES_tradnl"/>
        </w:rPr>
      </w:pPr>
      <w:r w:rsidRPr="00F379A3">
        <w:rPr>
          <w:b/>
          <w:sz w:val="32"/>
          <w:lang w:val="es-ES_tradnl"/>
        </w:rPr>
        <w:t>Mecanismo de asistencia técnica para la financiación inclusiva postal de la UPU (</w:t>
      </w:r>
      <w:proofErr w:type="spellStart"/>
      <w:r w:rsidRPr="00F379A3">
        <w:rPr>
          <w:b/>
          <w:sz w:val="32"/>
          <w:lang w:val="es-ES_tradnl"/>
        </w:rPr>
        <w:t>FITAF</w:t>
      </w:r>
      <w:proofErr w:type="spellEnd"/>
      <w:r w:rsidRPr="00F379A3">
        <w:rPr>
          <w:b/>
          <w:sz w:val="32"/>
          <w:lang w:val="es-ES_tradnl"/>
        </w:rPr>
        <w:t xml:space="preserve"> 2)</w:t>
      </w:r>
    </w:p>
    <w:p w14:paraId="3CD01AA1" w14:textId="77777777" w:rsidR="00B66A9C" w:rsidRPr="00F379A3" w:rsidRDefault="00B66A9C" w:rsidP="00B66A9C">
      <w:pPr>
        <w:pStyle w:val="0Textedebase"/>
        <w:rPr>
          <w:rFonts w:cs="Arial"/>
          <w:b/>
          <w:bCs/>
          <w:sz w:val="32"/>
          <w:szCs w:val="32"/>
          <w:lang w:val="es-ES_tradnl"/>
        </w:rPr>
      </w:pPr>
    </w:p>
    <w:p w14:paraId="3E573762" w14:textId="77777777" w:rsidR="00B66A9C" w:rsidRPr="00F379A3" w:rsidRDefault="00B66A9C" w:rsidP="00B66A9C">
      <w:pPr>
        <w:pStyle w:val="0Textedebase"/>
        <w:rPr>
          <w:rFonts w:cs="Arial"/>
          <w:b/>
          <w:bCs/>
          <w:sz w:val="32"/>
          <w:szCs w:val="32"/>
          <w:lang w:val="es-ES_tradnl"/>
        </w:rPr>
      </w:pPr>
      <w:r w:rsidRPr="00F379A3">
        <w:rPr>
          <w:b/>
          <w:sz w:val="32"/>
          <w:lang w:val="es-ES_tradnl"/>
        </w:rPr>
        <w:t>Ampliar las capacidades mundiales en materia de financiación inclusiva digital postal para promover la inclusión financiera</w:t>
      </w:r>
    </w:p>
    <w:p w14:paraId="32F49201" w14:textId="77777777" w:rsidR="00B66A9C" w:rsidRPr="00F379A3" w:rsidRDefault="00B66A9C" w:rsidP="00B66A9C">
      <w:pPr>
        <w:pStyle w:val="0Textedebase"/>
        <w:rPr>
          <w:rFonts w:cs="Arial"/>
          <w:lang w:val="es-ES_tradnl"/>
        </w:rPr>
      </w:pPr>
    </w:p>
    <w:p w14:paraId="6B91FD50" w14:textId="77777777" w:rsidR="00B66A9C" w:rsidRPr="00F379A3" w:rsidRDefault="00B66A9C" w:rsidP="00B66A9C">
      <w:pPr>
        <w:pStyle w:val="0Textedebase"/>
        <w:rPr>
          <w:rFonts w:cs="Arial"/>
          <w:lang w:val="es-ES_tradnl"/>
        </w:rPr>
      </w:pPr>
    </w:p>
    <w:p w14:paraId="5AAFD4CE" w14:textId="77777777" w:rsidR="00B66A9C" w:rsidRPr="00F379A3" w:rsidRDefault="00B66A9C" w:rsidP="00B66A9C">
      <w:pPr>
        <w:pStyle w:val="0Textedebase"/>
        <w:rPr>
          <w:rFonts w:cs="Arial"/>
          <w:lang w:val="es-ES_tradnl"/>
        </w:rPr>
      </w:pPr>
    </w:p>
    <w:p w14:paraId="2683CEA9" w14:textId="77777777" w:rsidR="00B66A9C" w:rsidRPr="00F379A3" w:rsidRDefault="00B66A9C" w:rsidP="00B66A9C">
      <w:pPr>
        <w:pStyle w:val="0Textedebase"/>
        <w:rPr>
          <w:rFonts w:cs="Arial"/>
          <w:lang w:val="es-ES_tradnl"/>
        </w:rPr>
      </w:pPr>
    </w:p>
    <w:p w14:paraId="299BEB7C" w14:textId="77777777" w:rsidR="00B66A9C" w:rsidRPr="00F379A3" w:rsidRDefault="00B66A9C" w:rsidP="00B66A9C">
      <w:pPr>
        <w:pStyle w:val="0Textedebase"/>
        <w:rPr>
          <w:rFonts w:cs="Arial"/>
          <w:lang w:val="es-ES_tradnl"/>
        </w:rPr>
      </w:pPr>
    </w:p>
    <w:p w14:paraId="5DA5AF77" w14:textId="77777777" w:rsidR="00B66A9C" w:rsidRPr="00F379A3" w:rsidRDefault="00B66A9C" w:rsidP="00B66A9C">
      <w:pPr>
        <w:pStyle w:val="0Textedebase"/>
        <w:rPr>
          <w:rFonts w:cs="Arial"/>
          <w:lang w:val="es-ES_tradnl"/>
        </w:rPr>
      </w:pPr>
    </w:p>
    <w:p w14:paraId="384943A5" w14:textId="77777777" w:rsidR="00B66A9C" w:rsidRPr="00F379A3" w:rsidRDefault="00B66A9C" w:rsidP="00B66A9C">
      <w:pPr>
        <w:pStyle w:val="0Textedebase"/>
        <w:rPr>
          <w:rFonts w:cs="Arial"/>
          <w:lang w:val="es-ES_tradnl"/>
        </w:rPr>
      </w:pPr>
    </w:p>
    <w:p w14:paraId="6DB4DB7E" w14:textId="77777777" w:rsidR="00B66A9C" w:rsidRPr="00F379A3" w:rsidRDefault="00B66A9C" w:rsidP="00B66A9C">
      <w:pPr>
        <w:pStyle w:val="0Textedebase"/>
        <w:rPr>
          <w:rFonts w:cs="Arial"/>
          <w:lang w:val="es-ES_tradnl"/>
        </w:rPr>
      </w:pPr>
    </w:p>
    <w:p w14:paraId="4E5566B6" w14:textId="77777777" w:rsidR="00B66A9C" w:rsidRPr="00F379A3" w:rsidRDefault="00B66A9C" w:rsidP="00B66A9C">
      <w:pPr>
        <w:pStyle w:val="0Textedebase"/>
        <w:rPr>
          <w:rFonts w:cs="Arial"/>
          <w:lang w:val="es-ES_tradnl"/>
        </w:rPr>
      </w:pPr>
    </w:p>
    <w:p w14:paraId="3D522A5C" w14:textId="77777777" w:rsidR="00B66A9C" w:rsidRPr="00F379A3" w:rsidRDefault="00B66A9C" w:rsidP="00B66A9C">
      <w:pPr>
        <w:pStyle w:val="0Textedebase"/>
        <w:rPr>
          <w:rFonts w:cs="Arial"/>
          <w:lang w:val="es-ES_tradnl"/>
        </w:rPr>
      </w:pPr>
    </w:p>
    <w:p w14:paraId="142FE7E3" w14:textId="77777777" w:rsidR="00B66A9C" w:rsidRPr="00F379A3" w:rsidRDefault="00B66A9C" w:rsidP="00B66A9C">
      <w:pPr>
        <w:pStyle w:val="0Textedebase"/>
        <w:rPr>
          <w:rFonts w:cs="Arial"/>
          <w:lang w:val="es-ES_tradnl"/>
        </w:rPr>
      </w:pPr>
    </w:p>
    <w:p w14:paraId="0CDFA87D" w14:textId="77777777" w:rsidR="00B66A9C" w:rsidRPr="00F379A3" w:rsidRDefault="00B66A9C" w:rsidP="00B66A9C">
      <w:pPr>
        <w:pStyle w:val="0Textedebase"/>
        <w:rPr>
          <w:rFonts w:cs="Arial"/>
          <w:lang w:val="es-ES_tradnl"/>
        </w:rPr>
      </w:pPr>
    </w:p>
    <w:p w14:paraId="7B4F7FA6" w14:textId="77777777" w:rsidR="00B66A9C" w:rsidRPr="00F379A3" w:rsidRDefault="00B66A9C" w:rsidP="00B66A9C">
      <w:pPr>
        <w:pStyle w:val="0Textedebase"/>
        <w:rPr>
          <w:rFonts w:cs="Arial"/>
          <w:lang w:val="es-ES_tradnl"/>
        </w:rPr>
      </w:pPr>
    </w:p>
    <w:p w14:paraId="33E10502" w14:textId="77777777" w:rsidR="00B66A9C" w:rsidRPr="00F379A3" w:rsidRDefault="00B66A9C" w:rsidP="00B66A9C">
      <w:pPr>
        <w:pStyle w:val="0Textedebase"/>
        <w:rPr>
          <w:rFonts w:cs="Arial"/>
          <w:lang w:val="es-ES_tradnl"/>
        </w:rPr>
      </w:pPr>
    </w:p>
    <w:p w14:paraId="5A89E163" w14:textId="77777777" w:rsidR="00B66A9C" w:rsidRPr="00F379A3" w:rsidRDefault="00B66A9C" w:rsidP="00B66A9C">
      <w:pPr>
        <w:pStyle w:val="0Textedebase"/>
        <w:rPr>
          <w:rFonts w:cs="Arial"/>
          <w:lang w:val="es-ES_tradnl"/>
        </w:rPr>
      </w:pPr>
    </w:p>
    <w:p w14:paraId="76986DA0" w14:textId="77777777" w:rsidR="00B66A9C" w:rsidRPr="00F379A3" w:rsidRDefault="00B66A9C" w:rsidP="00B66A9C">
      <w:pPr>
        <w:pStyle w:val="0Textedebase"/>
        <w:rPr>
          <w:rFonts w:cs="Arial"/>
          <w:lang w:val="es-ES_tradnl"/>
        </w:rPr>
      </w:pPr>
    </w:p>
    <w:p w14:paraId="50B28B16" w14:textId="77777777" w:rsidR="00B66A9C" w:rsidRPr="00F379A3" w:rsidRDefault="00B66A9C" w:rsidP="00B66A9C">
      <w:pPr>
        <w:pStyle w:val="0Textedebase"/>
        <w:rPr>
          <w:rFonts w:cs="Arial"/>
          <w:lang w:val="es-ES_tradnl"/>
        </w:rPr>
      </w:pPr>
    </w:p>
    <w:p w14:paraId="6C8E9D7C" w14:textId="77777777" w:rsidR="00B66A9C" w:rsidRPr="00F379A3" w:rsidRDefault="00B66A9C" w:rsidP="00B66A9C">
      <w:pPr>
        <w:pStyle w:val="0Textedebase"/>
        <w:rPr>
          <w:rFonts w:cs="Arial"/>
          <w:lang w:val="es-ES_tradnl"/>
        </w:rPr>
      </w:pPr>
    </w:p>
    <w:p w14:paraId="363C9DBA" w14:textId="77777777" w:rsidR="00B66A9C" w:rsidRPr="00F379A3" w:rsidRDefault="00B66A9C" w:rsidP="00B66A9C">
      <w:pPr>
        <w:pStyle w:val="0Textedebase"/>
        <w:rPr>
          <w:rFonts w:cs="Arial"/>
          <w:lang w:val="es-ES_tradnl"/>
        </w:rPr>
      </w:pPr>
    </w:p>
    <w:p w14:paraId="155E0326" w14:textId="77777777" w:rsidR="00405CC5" w:rsidRPr="00F379A3" w:rsidRDefault="00405CC5" w:rsidP="00B66A9C">
      <w:pPr>
        <w:pStyle w:val="0Textedebase"/>
        <w:rPr>
          <w:rFonts w:cs="Arial"/>
          <w:lang w:val="es-ES_tradnl"/>
        </w:rPr>
      </w:pPr>
    </w:p>
    <w:p w14:paraId="4E7BAFD4" w14:textId="77777777" w:rsidR="00B66A9C" w:rsidRPr="00F379A3" w:rsidRDefault="00B66A9C" w:rsidP="00B66A9C">
      <w:pPr>
        <w:pStyle w:val="0Textedebase"/>
        <w:rPr>
          <w:rFonts w:cs="Arial"/>
          <w:lang w:val="es-ES_tradnl"/>
        </w:rPr>
      </w:pPr>
    </w:p>
    <w:p w14:paraId="7A1527E3" w14:textId="77777777" w:rsidR="00B66A9C" w:rsidRPr="00F379A3" w:rsidRDefault="00B66A9C" w:rsidP="00B66A9C">
      <w:pPr>
        <w:pStyle w:val="0Textedebase"/>
        <w:rPr>
          <w:rFonts w:cs="Arial"/>
          <w:lang w:val="es-ES_tradnl"/>
        </w:rPr>
      </w:pPr>
    </w:p>
    <w:p w14:paraId="05175D72" w14:textId="77777777" w:rsidR="00B66A9C" w:rsidRPr="00F379A3" w:rsidRDefault="00B66A9C" w:rsidP="00B66A9C">
      <w:pPr>
        <w:autoSpaceDE w:val="0"/>
        <w:autoSpaceDN w:val="0"/>
        <w:adjustRightInd w:val="0"/>
        <w:rPr>
          <w:sz w:val="22"/>
          <w:szCs w:val="22"/>
          <w:lang w:val="es-ES_tradnl"/>
        </w:rPr>
      </w:pPr>
      <w:r w:rsidRPr="00F379A3">
        <w:rPr>
          <w:sz w:val="32"/>
          <w:lang w:val="es-ES_tradnl"/>
        </w:rPr>
        <w:t xml:space="preserve">Programa </w:t>
      </w:r>
      <w:proofErr w:type="spellStart"/>
      <w:r w:rsidRPr="00F379A3">
        <w:rPr>
          <w:sz w:val="32"/>
          <w:lang w:val="es-ES_tradnl"/>
        </w:rPr>
        <w:t>FITAF</w:t>
      </w:r>
      <w:proofErr w:type="spellEnd"/>
      <w:r w:rsidRPr="00F379A3">
        <w:rPr>
          <w:sz w:val="32"/>
          <w:lang w:val="es-ES_tradnl"/>
        </w:rPr>
        <w:t xml:space="preserve"> 2</w:t>
      </w:r>
    </w:p>
    <w:p w14:paraId="6C6881C7" w14:textId="77777777" w:rsidR="00B66A9C" w:rsidRPr="00F379A3" w:rsidRDefault="00B66A9C" w:rsidP="00B66A9C">
      <w:pPr>
        <w:pStyle w:val="0Textedebase"/>
        <w:rPr>
          <w:rFonts w:cs="Arial"/>
          <w:lang w:val="es-ES_tradnl"/>
        </w:rPr>
      </w:pPr>
    </w:p>
    <w:p w14:paraId="0047A54F" w14:textId="77777777" w:rsidR="00B66A9C" w:rsidRPr="00F379A3" w:rsidRDefault="00B66A9C" w:rsidP="00B66A9C">
      <w:pPr>
        <w:pStyle w:val="0Textedebase"/>
        <w:rPr>
          <w:rFonts w:cs="Arial"/>
          <w:lang w:val="es-ES_tradnl"/>
        </w:rPr>
      </w:pPr>
    </w:p>
    <w:p w14:paraId="579D7E78" w14:textId="77777777" w:rsidR="00B66A9C" w:rsidRPr="00F379A3" w:rsidRDefault="00B66A9C" w:rsidP="00B66A9C">
      <w:pPr>
        <w:pStyle w:val="0Textedebase"/>
        <w:rPr>
          <w:rFonts w:cs="Arial"/>
          <w:sz w:val="32"/>
          <w:szCs w:val="32"/>
          <w:lang w:val="es-ES_tradnl"/>
        </w:rPr>
      </w:pPr>
      <w:r w:rsidRPr="00F379A3">
        <w:rPr>
          <w:sz w:val="32"/>
          <w:lang w:val="es-ES_tradnl"/>
        </w:rPr>
        <w:t>2025</w:t>
      </w:r>
    </w:p>
    <w:p w14:paraId="3DE25592" w14:textId="77777777" w:rsidR="00405CC5" w:rsidRPr="00F379A3" w:rsidRDefault="00405CC5">
      <w:pPr>
        <w:rPr>
          <w:b/>
          <w:bCs/>
          <w:lang w:val="es-ES_tradnl"/>
        </w:rPr>
      </w:pPr>
      <w:r w:rsidRPr="00F379A3">
        <w:rPr>
          <w:b/>
          <w:bCs/>
          <w:lang w:val="es-ES_tradnl"/>
        </w:rPr>
        <w:br w:type="page"/>
      </w:r>
    </w:p>
    <w:p w14:paraId="49D87B92" w14:textId="299E6DAD" w:rsidR="00B66A9C" w:rsidRPr="00F379A3" w:rsidRDefault="00B66A9C" w:rsidP="00AF79E6">
      <w:pPr>
        <w:pStyle w:val="TDC2"/>
        <w:rPr>
          <w:lang w:val="es-ES_tradnl"/>
        </w:rPr>
      </w:pPr>
      <w:r w:rsidRPr="00F379A3">
        <w:rPr>
          <w:b/>
          <w:bCs/>
          <w:lang w:val="es-ES_tradnl"/>
        </w:rPr>
        <w:lastRenderedPageBreak/>
        <w:t>Índice</w:t>
      </w:r>
      <w:r w:rsidRPr="00F379A3">
        <w:rPr>
          <w:lang w:val="es-ES_tradnl"/>
        </w:rPr>
        <w:tab/>
        <w:t>Página</w:t>
      </w:r>
      <w:bookmarkStart w:id="0" w:name="_Toc356279529"/>
    </w:p>
    <w:bookmarkEnd w:id="0" w:displacedByCustomXml="next"/>
    <w:sdt>
      <w:sdtPr>
        <w:rPr>
          <w:rFonts w:ascii="Arial" w:eastAsia="Times New Roman" w:hAnsi="Arial" w:cs="Arial"/>
          <w:color w:val="auto"/>
          <w:sz w:val="20"/>
          <w:szCs w:val="20"/>
          <w:lang w:val="es-ES_tradnl"/>
        </w:rPr>
        <w:id w:val="-572661941"/>
        <w:docPartObj>
          <w:docPartGallery w:val="Table of Contents"/>
          <w:docPartUnique/>
        </w:docPartObj>
      </w:sdtPr>
      <w:sdtEndPr>
        <w:rPr>
          <w:b/>
          <w:bCs/>
        </w:rPr>
      </w:sdtEndPr>
      <w:sdtContent>
        <w:p w14:paraId="110968AF" w14:textId="77777777" w:rsidR="00B66A9C" w:rsidRPr="00F379A3" w:rsidRDefault="00B66A9C" w:rsidP="00B66A9C">
          <w:pPr>
            <w:pStyle w:val="TtuloTDC"/>
            <w:keepNext w:val="0"/>
            <w:keepLines w:val="0"/>
            <w:spacing w:before="0" w:line="240" w:lineRule="atLeast"/>
            <w:rPr>
              <w:rFonts w:ascii="Arial" w:hAnsi="Arial" w:cs="Arial"/>
              <w:color w:val="auto"/>
              <w:sz w:val="20"/>
              <w:szCs w:val="20"/>
              <w:lang w:val="es-ES_tradnl"/>
            </w:rPr>
          </w:pPr>
        </w:p>
        <w:p w14:paraId="04027E98" w14:textId="009F44B6" w:rsidR="00C3300E" w:rsidRPr="00F379A3" w:rsidRDefault="00B66A9C">
          <w:pPr>
            <w:pStyle w:val="TDC1"/>
            <w:rPr>
              <w:rFonts w:asciiTheme="minorHAnsi" w:eastAsiaTheme="minorEastAsia" w:hAnsiTheme="minorHAnsi" w:cstheme="minorBidi"/>
              <w:noProof/>
              <w:kern w:val="2"/>
              <w:sz w:val="24"/>
              <w:szCs w:val="24"/>
              <w:lang w:val="es-ES_tradnl" w:eastAsia="es-UY"/>
              <w14:ligatures w14:val="standardContextual"/>
            </w:rPr>
          </w:pPr>
          <w:r w:rsidRPr="00F379A3">
            <w:rPr>
              <w:lang w:val="es-ES_tradnl"/>
            </w:rPr>
            <w:fldChar w:fldCharType="begin"/>
          </w:r>
          <w:r w:rsidRPr="00F379A3">
            <w:rPr>
              <w:lang w:val="es-ES_tradnl"/>
            </w:rPr>
            <w:instrText xml:space="preserve"> TOC \o "1-3" \h \z \u </w:instrText>
          </w:r>
          <w:r w:rsidRPr="00F379A3">
            <w:rPr>
              <w:lang w:val="es-ES_tradnl"/>
            </w:rPr>
            <w:fldChar w:fldCharType="separate"/>
          </w:r>
          <w:hyperlink w:anchor="_Toc203465846" w:history="1">
            <w:r w:rsidR="00C3300E" w:rsidRPr="00F379A3">
              <w:rPr>
                <w:rStyle w:val="Hipervnculo"/>
                <w:rFonts w:cs="Arial"/>
                <w:noProof/>
                <w:lang w:val="es-ES_tradnl"/>
              </w:rPr>
              <w:t>1.</w:t>
            </w:r>
            <w:r w:rsidR="00C3300E" w:rsidRPr="00F379A3">
              <w:rPr>
                <w:rFonts w:asciiTheme="minorHAnsi" w:eastAsiaTheme="minorEastAsia" w:hAnsiTheme="minorHAnsi" w:cstheme="minorBidi"/>
                <w:noProof/>
                <w:kern w:val="2"/>
                <w:sz w:val="24"/>
                <w:szCs w:val="24"/>
                <w:lang w:val="es-ES_tradnl" w:eastAsia="es-UY"/>
                <w14:ligatures w14:val="standardContextual"/>
              </w:rPr>
              <w:tab/>
            </w:r>
            <w:r w:rsidR="00C3300E" w:rsidRPr="00F379A3">
              <w:rPr>
                <w:rStyle w:val="Hipervnculo"/>
                <w:noProof/>
                <w:lang w:val="es-ES_tradnl"/>
              </w:rPr>
              <w:t>Contexto</w:t>
            </w:r>
            <w:r w:rsidR="00C3300E" w:rsidRPr="00F379A3">
              <w:rPr>
                <w:noProof/>
                <w:webHidden/>
                <w:lang w:val="es-ES_tradnl"/>
              </w:rPr>
              <w:tab/>
            </w:r>
            <w:r w:rsidR="00C3300E" w:rsidRPr="00F379A3">
              <w:rPr>
                <w:noProof/>
                <w:webHidden/>
                <w:lang w:val="es-ES_tradnl"/>
              </w:rPr>
              <w:fldChar w:fldCharType="begin"/>
            </w:r>
            <w:r w:rsidR="00C3300E" w:rsidRPr="00F379A3">
              <w:rPr>
                <w:noProof/>
                <w:webHidden/>
                <w:lang w:val="es-ES_tradnl"/>
              </w:rPr>
              <w:instrText xml:space="preserve"> PAGEREF _Toc203465846 \h </w:instrText>
            </w:r>
            <w:r w:rsidR="00C3300E" w:rsidRPr="00F379A3">
              <w:rPr>
                <w:noProof/>
                <w:webHidden/>
                <w:lang w:val="es-ES_tradnl"/>
              </w:rPr>
            </w:r>
            <w:r w:rsidR="00C3300E" w:rsidRPr="00F379A3">
              <w:rPr>
                <w:noProof/>
                <w:webHidden/>
                <w:lang w:val="es-ES_tradnl"/>
              </w:rPr>
              <w:fldChar w:fldCharType="separate"/>
            </w:r>
            <w:r w:rsidR="003575D8">
              <w:rPr>
                <w:noProof/>
                <w:webHidden/>
                <w:lang w:val="es-ES_tradnl"/>
              </w:rPr>
              <w:t>3</w:t>
            </w:r>
            <w:r w:rsidR="00C3300E" w:rsidRPr="00F379A3">
              <w:rPr>
                <w:noProof/>
                <w:webHidden/>
                <w:lang w:val="es-ES_tradnl"/>
              </w:rPr>
              <w:fldChar w:fldCharType="end"/>
            </w:r>
          </w:hyperlink>
        </w:p>
        <w:p w14:paraId="6EBF38AD" w14:textId="19AE43E0" w:rsidR="00C3300E" w:rsidRPr="00F379A3" w:rsidRDefault="00C3300E">
          <w:pPr>
            <w:pStyle w:val="TDC1"/>
            <w:rPr>
              <w:rFonts w:asciiTheme="minorHAnsi" w:eastAsiaTheme="minorEastAsia" w:hAnsiTheme="minorHAnsi" w:cstheme="minorBidi"/>
              <w:noProof/>
              <w:kern w:val="2"/>
              <w:sz w:val="24"/>
              <w:szCs w:val="24"/>
              <w:lang w:val="es-ES_tradnl" w:eastAsia="es-UY"/>
              <w14:ligatures w14:val="standardContextual"/>
            </w:rPr>
          </w:pPr>
          <w:hyperlink w:anchor="_Toc203465847" w:history="1">
            <w:r w:rsidRPr="00F379A3">
              <w:rPr>
                <w:rStyle w:val="Hipervnculo"/>
                <w:rFonts w:cs="Arial"/>
                <w:noProof/>
                <w:lang w:val="es-ES_tradnl"/>
              </w:rPr>
              <w:t>2.</w:t>
            </w:r>
            <w:r w:rsidRPr="00F379A3">
              <w:rPr>
                <w:rFonts w:asciiTheme="minorHAnsi" w:eastAsiaTheme="minorEastAsia" w:hAnsiTheme="minorHAnsi" w:cstheme="minorBidi"/>
                <w:noProof/>
                <w:kern w:val="2"/>
                <w:sz w:val="24"/>
                <w:szCs w:val="24"/>
                <w:lang w:val="es-ES_tradnl" w:eastAsia="es-UY"/>
                <w14:ligatures w14:val="standardContextual"/>
              </w:rPr>
              <w:tab/>
            </w:r>
            <w:r w:rsidRPr="00F379A3">
              <w:rPr>
                <w:rStyle w:val="Hipervnculo"/>
                <w:noProof/>
                <w:lang w:val="es-ES_tradnl"/>
              </w:rPr>
              <w:t>Objetivos y alcance de los proyectos considerados</w:t>
            </w:r>
            <w:r w:rsidRPr="00F379A3">
              <w:rPr>
                <w:noProof/>
                <w:webHidden/>
                <w:lang w:val="es-ES_tradnl"/>
              </w:rPr>
              <w:tab/>
            </w:r>
            <w:r w:rsidRPr="00F379A3">
              <w:rPr>
                <w:noProof/>
                <w:webHidden/>
                <w:lang w:val="es-ES_tradnl"/>
              </w:rPr>
              <w:fldChar w:fldCharType="begin"/>
            </w:r>
            <w:r w:rsidRPr="00F379A3">
              <w:rPr>
                <w:noProof/>
                <w:webHidden/>
                <w:lang w:val="es-ES_tradnl"/>
              </w:rPr>
              <w:instrText xml:space="preserve"> PAGEREF _Toc203465847 \h </w:instrText>
            </w:r>
            <w:r w:rsidRPr="00F379A3">
              <w:rPr>
                <w:noProof/>
                <w:webHidden/>
                <w:lang w:val="es-ES_tradnl"/>
              </w:rPr>
            </w:r>
            <w:r w:rsidRPr="00F379A3">
              <w:rPr>
                <w:noProof/>
                <w:webHidden/>
                <w:lang w:val="es-ES_tradnl"/>
              </w:rPr>
              <w:fldChar w:fldCharType="separate"/>
            </w:r>
            <w:r w:rsidR="003575D8">
              <w:rPr>
                <w:noProof/>
                <w:webHidden/>
                <w:lang w:val="es-ES_tradnl"/>
              </w:rPr>
              <w:t>4</w:t>
            </w:r>
            <w:r w:rsidRPr="00F379A3">
              <w:rPr>
                <w:noProof/>
                <w:webHidden/>
                <w:lang w:val="es-ES_tradnl"/>
              </w:rPr>
              <w:fldChar w:fldCharType="end"/>
            </w:r>
          </w:hyperlink>
        </w:p>
        <w:p w14:paraId="38EE2C2D" w14:textId="26E14113" w:rsidR="00C3300E" w:rsidRPr="00F379A3" w:rsidRDefault="00C3300E">
          <w:pPr>
            <w:pStyle w:val="TDC1"/>
            <w:rPr>
              <w:rFonts w:asciiTheme="minorHAnsi" w:eastAsiaTheme="minorEastAsia" w:hAnsiTheme="minorHAnsi" w:cstheme="minorBidi"/>
              <w:noProof/>
              <w:kern w:val="2"/>
              <w:sz w:val="24"/>
              <w:szCs w:val="24"/>
              <w:lang w:val="es-ES_tradnl" w:eastAsia="es-UY"/>
              <w14:ligatures w14:val="standardContextual"/>
            </w:rPr>
          </w:pPr>
          <w:hyperlink w:anchor="_Toc203465848" w:history="1">
            <w:r w:rsidRPr="00F379A3">
              <w:rPr>
                <w:rStyle w:val="Hipervnculo"/>
                <w:noProof/>
                <w:lang w:val="es-ES_tradnl"/>
              </w:rPr>
              <w:t>3.</w:t>
            </w:r>
            <w:r w:rsidRPr="00F379A3">
              <w:rPr>
                <w:rFonts w:asciiTheme="minorHAnsi" w:eastAsiaTheme="minorEastAsia" w:hAnsiTheme="minorHAnsi" w:cstheme="minorBidi"/>
                <w:noProof/>
                <w:kern w:val="2"/>
                <w:sz w:val="24"/>
                <w:szCs w:val="24"/>
                <w:lang w:val="es-ES_tradnl" w:eastAsia="es-UY"/>
                <w14:ligatures w14:val="standardContextual"/>
              </w:rPr>
              <w:tab/>
            </w:r>
            <w:r w:rsidRPr="00F379A3">
              <w:rPr>
                <w:rStyle w:val="Hipervnculo"/>
                <w:noProof/>
                <w:lang w:val="es-ES_tradnl"/>
              </w:rPr>
              <w:t>Evaluación y selección de propuestas</w:t>
            </w:r>
            <w:r w:rsidRPr="00F379A3">
              <w:rPr>
                <w:noProof/>
                <w:webHidden/>
                <w:lang w:val="es-ES_tradnl"/>
              </w:rPr>
              <w:tab/>
            </w:r>
            <w:r w:rsidRPr="00F379A3">
              <w:rPr>
                <w:noProof/>
                <w:webHidden/>
                <w:lang w:val="es-ES_tradnl"/>
              </w:rPr>
              <w:fldChar w:fldCharType="begin"/>
            </w:r>
            <w:r w:rsidRPr="00F379A3">
              <w:rPr>
                <w:noProof/>
                <w:webHidden/>
                <w:lang w:val="es-ES_tradnl"/>
              </w:rPr>
              <w:instrText xml:space="preserve"> PAGEREF _Toc203465848 \h </w:instrText>
            </w:r>
            <w:r w:rsidRPr="00F379A3">
              <w:rPr>
                <w:noProof/>
                <w:webHidden/>
                <w:lang w:val="es-ES_tradnl"/>
              </w:rPr>
            </w:r>
            <w:r w:rsidRPr="00F379A3">
              <w:rPr>
                <w:noProof/>
                <w:webHidden/>
                <w:lang w:val="es-ES_tradnl"/>
              </w:rPr>
              <w:fldChar w:fldCharType="separate"/>
            </w:r>
            <w:r w:rsidR="003575D8">
              <w:rPr>
                <w:noProof/>
                <w:webHidden/>
                <w:lang w:val="es-ES_tradnl"/>
              </w:rPr>
              <w:t>4</w:t>
            </w:r>
            <w:r w:rsidRPr="00F379A3">
              <w:rPr>
                <w:noProof/>
                <w:webHidden/>
                <w:lang w:val="es-ES_tradnl"/>
              </w:rPr>
              <w:fldChar w:fldCharType="end"/>
            </w:r>
          </w:hyperlink>
        </w:p>
        <w:p w14:paraId="24218068" w14:textId="041D168E" w:rsidR="00C3300E" w:rsidRPr="00F379A3" w:rsidRDefault="00C3300E">
          <w:pPr>
            <w:pStyle w:val="TDC1"/>
            <w:rPr>
              <w:rFonts w:asciiTheme="minorHAnsi" w:eastAsiaTheme="minorEastAsia" w:hAnsiTheme="minorHAnsi" w:cstheme="minorBidi"/>
              <w:noProof/>
              <w:kern w:val="2"/>
              <w:sz w:val="24"/>
              <w:szCs w:val="24"/>
              <w:lang w:val="es-ES_tradnl" w:eastAsia="es-UY"/>
              <w14:ligatures w14:val="standardContextual"/>
            </w:rPr>
          </w:pPr>
          <w:hyperlink w:anchor="_Toc203465849" w:history="1">
            <w:r w:rsidRPr="00F379A3">
              <w:rPr>
                <w:rStyle w:val="Hipervnculo"/>
                <w:noProof/>
                <w:lang w:val="es-ES_tradnl"/>
              </w:rPr>
              <w:t>4.</w:t>
            </w:r>
            <w:r w:rsidRPr="00F379A3">
              <w:rPr>
                <w:rFonts w:asciiTheme="minorHAnsi" w:eastAsiaTheme="minorEastAsia" w:hAnsiTheme="minorHAnsi" w:cstheme="minorBidi"/>
                <w:noProof/>
                <w:kern w:val="2"/>
                <w:sz w:val="24"/>
                <w:szCs w:val="24"/>
                <w:lang w:val="es-ES_tradnl" w:eastAsia="es-UY"/>
                <w14:ligatures w14:val="standardContextual"/>
              </w:rPr>
              <w:tab/>
            </w:r>
            <w:r w:rsidRPr="00F379A3">
              <w:rPr>
                <w:rStyle w:val="Hipervnculo"/>
                <w:noProof/>
                <w:lang w:val="es-ES_tradnl"/>
              </w:rPr>
              <w:t>Estimación de los costos de implementación del proyecto</w:t>
            </w:r>
            <w:r w:rsidRPr="00F379A3">
              <w:rPr>
                <w:noProof/>
                <w:webHidden/>
                <w:lang w:val="es-ES_tradnl"/>
              </w:rPr>
              <w:tab/>
            </w:r>
            <w:r w:rsidRPr="00F379A3">
              <w:rPr>
                <w:noProof/>
                <w:webHidden/>
                <w:lang w:val="es-ES_tradnl"/>
              </w:rPr>
              <w:fldChar w:fldCharType="begin"/>
            </w:r>
            <w:r w:rsidRPr="00F379A3">
              <w:rPr>
                <w:noProof/>
                <w:webHidden/>
                <w:lang w:val="es-ES_tradnl"/>
              </w:rPr>
              <w:instrText xml:space="preserve"> PAGEREF _Toc203465849 \h </w:instrText>
            </w:r>
            <w:r w:rsidRPr="00F379A3">
              <w:rPr>
                <w:noProof/>
                <w:webHidden/>
                <w:lang w:val="es-ES_tradnl"/>
              </w:rPr>
            </w:r>
            <w:r w:rsidRPr="00F379A3">
              <w:rPr>
                <w:noProof/>
                <w:webHidden/>
                <w:lang w:val="es-ES_tradnl"/>
              </w:rPr>
              <w:fldChar w:fldCharType="separate"/>
            </w:r>
            <w:r w:rsidR="003575D8">
              <w:rPr>
                <w:noProof/>
                <w:webHidden/>
                <w:lang w:val="es-ES_tradnl"/>
              </w:rPr>
              <w:t>5</w:t>
            </w:r>
            <w:r w:rsidRPr="00F379A3">
              <w:rPr>
                <w:noProof/>
                <w:webHidden/>
                <w:lang w:val="es-ES_tradnl"/>
              </w:rPr>
              <w:fldChar w:fldCharType="end"/>
            </w:r>
          </w:hyperlink>
        </w:p>
        <w:p w14:paraId="3447E941" w14:textId="10C9C392" w:rsidR="00C3300E" w:rsidRPr="00F379A3" w:rsidRDefault="00C3300E">
          <w:pPr>
            <w:pStyle w:val="TDC1"/>
            <w:rPr>
              <w:rFonts w:asciiTheme="minorHAnsi" w:eastAsiaTheme="minorEastAsia" w:hAnsiTheme="minorHAnsi" w:cstheme="minorBidi"/>
              <w:noProof/>
              <w:kern w:val="2"/>
              <w:sz w:val="24"/>
              <w:szCs w:val="24"/>
              <w:lang w:val="es-ES_tradnl" w:eastAsia="es-UY"/>
              <w14:ligatures w14:val="standardContextual"/>
            </w:rPr>
          </w:pPr>
          <w:hyperlink w:anchor="_Toc203465850" w:history="1">
            <w:r w:rsidRPr="00F379A3">
              <w:rPr>
                <w:rStyle w:val="Hipervnculo"/>
                <w:noProof/>
                <w:lang w:val="es-ES_tradnl"/>
              </w:rPr>
              <w:t>5.</w:t>
            </w:r>
            <w:r w:rsidRPr="00F379A3">
              <w:rPr>
                <w:rFonts w:asciiTheme="minorHAnsi" w:eastAsiaTheme="minorEastAsia" w:hAnsiTheme="minorHAnsi" w:cstheme="minorBidi"/>
                <w:noProof/>
                <w:kern w:val="2"/>
                <w:sz w:val="24"/>
                <w:szCs w:val="24"/>
                <w:lang w:val="es-ES_tradnl" w:eastAsia="es-UY"/>
                <w14:ligatures w14:val="standardContextual"/>
              </w:rPr>
              <w:tab/>
            </w:r>
            <w:r w:rsidRPr="00F379A3">
              <w:rPr>
                <w:rStyle w:val="Hipervnculo"/>
                <w:noProof/>
                <w:lang w:val="es-ES_tradnl"/>
              </w:rPr>
              <w:t>Procedimiento de solicitud</w:t>
            </w:r>
            <w:r w:rsidRPr="00F379A3">
              <w:rPr>
                <w:noProof/>
                <w:webHidden/>
                <w:lang w:val="es-ES_tradnl"/>
              </w:rPr>
              <w:tab/>
            </w:r>
            <w:r w:rsidRPr="00F379A3">
              <w:rPr>
                <w:noProof/>
                <w:webHidden/>
                <w:lang w:val="es-ES_tradnl"/>
              </w:rPr>
              <w:fldChar w:fldCharType="begin"/>
            </w:r>
            <w:r w:rsidRPr="00F379A3">
              <w:rPr>
                <w:noProof/>
                <w:webHidden/>
                <w:lang w:val="es-ES_tradnl"/>
              </w:rPr>
              <w:instrText xml:space="preserve"> PAGEREF _Toc203465850 \h </w:instrText>
            </w:r>
            <w:r w:rsidRPr="00F379A3">
              <w:rPr>
                <w:noProof/>
                <w:webHidden/>
                <w:lang w:val="es-ES_tradnl"/>
              </w:rPr>
            </w:r>
            <w:r w:rsidRPr="00F379A3">
              <w:rPr>
                <w:noProof/>
                <w:webHidden/>
                <w:lang w:val="es-ES_tradnl"/>
              </w:rPr>
              <w:fldChar w:fldCharType="separate"/>
            </w:r>
            <w:r w:rsidR="003575D8">
              <w:rPr>
                <w:noProof/>
                <w:webHidden/>
                <w:lang w:val="es-ES_tradnl"/>
              </w:rPr>
              <w:t>5</w:t>
            </w:r>
            <w:r w:rsidRPr="00F379A3">
              <w:rPr>
                <w:noProof/>
                <w:webHidden/>
                <w:lang w:val="es-ES_tradnl"/>
              </w:rPr>
              <w:fldChar w:fldCharType="end"/>
            </w:r>
          </w:hyperlink>
        </w:p>
        <w:p w14:paraId="0A659AE6" w14:textId="45CC236D" w:rsidR="00B66A9C" w:rsidRPr="00F379A3" w:rsidRDefault="00B66A9C" w:rsidP="00B66A9C">
          <w:pPr>
            <w:rPr>
              <w:rFonts w:cs="Arial"/>
              <w:b/>
              <w:lang w:val="es-ES_tradnl"/>
            </w:rPr>
          </w:pPr>
          <w:r w:rsidRPr="00F379A3">
            <w:rPr>
              <w:rFonts w:cs="Arial"/>
              <w:b/>
              <w:lang w:val="es-ES_tradnl"/>
            </w:rPr>
            <w:fldChar w:fldCharType="end"/>
          </w:r>
        </w:p>
        <w:p w14:paraId="76F418AE" w14:textId="77777777" w:rsidR="00B66A9C" w:rsidRPr="00F379A3" w:rsidRDefault="00B66A9C" w:rsidP="00B66A9C">
          <w:pPr>
            <w:rPr>
              <w:rFonts w:cs="Arial"/>
              <w:b/>
              <w:bCs/>
              <w:lang w:val="es-ES_tradnl"/>
            </w:rPr>
          </w:pPr>
          <w:r w:rsidRPr="00F379A3">
            <w:rPr>
              <w:b/>
              <w:lang w:val="es-ES_tradnl"/>
            </w:rPr>
            <w:t>Anexos</w:t>
          </w:r>
        </w:p>
        <w:p w14:paraId="0D63D515" w14:textId="77777777" w:rsidR="00B66A9C" w:rsidRPr="00F379A3" w:rsidRDefault="00B66A9C" w:rsidP="00B66A9C">
          <w:pPr>
            <w:rPr>
              <w:rFonts w:cs="Arial"/>
              <w:lang w:val="es-ES_tradnl"/>
            </w:rPr>
          </w:pPr>
        </w:p>
        <w:p w14:paraId="49F2427F" w14:textId="77777777" w:rsidR="00B66A9C" w:rsidRPr="00F379A3" w:rsidRDefault="00B66A9C" w:rsidP="00B66A9C">
          <w:pPr>
            <w:rPr>
              <w:rFonts w:cs="Arial"/>
              <w:lang w:val="es-ES_tradnl"/>
            </w:rPr>
          </w:pPr>
          <w:r w:rsidRPr="00F379A3">
            <w:rPr>
              <w:lang w:val="es-ES_tradnl"/>
            </w:rPr>
            <w:t>Anexo 1 – Formulario de propuesta de proyecto</w:t>
          </w:r>
        </w:p>
        <w:p w14:paraId="6DEDE0FE" w14:textId="77777777" w:rsidR="00B66A9C" w:rsidRPr="00F379A3" w:rsidRDefault="00B66A9C" w:rsidP="00B66A9C">
          <w:pPr>
            <w:rPr>
              <w:rFonts w:cs="Arial"/>
              <w:lang w:val="es-ES_tradnl"/>
            </w:rPr>
          </w:pPr>
        </w:p>
        <w:p w14:paraId="59DD6ED3" w14:textId="77777777" w:rsidR="00B66A9C" w:rsidRPr="00F379A3" w:rsidRDefault="00B66A9C" w:rsidP="00B66A9C">
          <w:pPr>
            <w:rPr>
              <w:rFonts w:cs="Arial"/>
              <w:b/>
              <w:bCs/>
              <w:lang w:val="es-ES_tradnl"/>
            </w:rPr>
          </w:pPr>
          <w:r w:rsidRPr="00F379A3">
            <w:rPr>
              <w:lang w:val="es-ES_tradnl"/>
            </w:rPr>
            <w:t>Anexo 2 – Formulario de contribución financiera</w:t>
          </w:r>
        </w:p>
      </w:sdtContent>
    </w:sdt>
    <w:p w14:paraId="1EF18CEA" w14:textId="77777777" w:rsidR="00B66A9C" w:rsidRPr="00F379A3" w:rsidRDefault="00B66A9C" w:rsidP="00B66A9C">
      <w:pPr>
        <w:rPr>
          <w:rFonts w:cs="Arial"/>
          <w:b/>
          <w:bCs/>
          <w:lang w:val="es-ES_tradnl"/>
        </w:rPr>
      </w:pPr>
      <w:bookmarkStart w:id="1" w:name="_Toc20148258"/>
      <w:bookmarkStart w:id="2" w:name="_Toc153073158"/>
      <w:bookmarkStart w:id="3" w:name="_Ref526581552"/>
      <w:bookmarkStart w:id="4" w:name="_Toc332966896"/>
      <w:bookmarkStart w:id="5" w:name="_Toc43914694"/>
      <w:bookmarkStart w:id="6" w:name="_Toc59526402"/>
      <w:bookmarkStart w:id="7" w:name="DDE_LINK2"/>
      <w:r w:rsidRPr="00F379A3">
        <w:rPr>
          <w:lang w:val="es-ES_tradnl"/>
        </w:rPr>
        <w:br w:type="page"/>
      </w:r>
    </w:p>
    <w:p w14:paraId="33B7B4F1" w14:textId="77777777" w:rsidR="00B66A9C" w:rsidRPr="00F379A3" w:rsidRDefault="00B66A9C" w:rsidP="00F379A3">
      <w:pPr>
        <w:pStyle w:val="Ttulo1"/>
        <w:numPr>
          <w:ilvl w:val="0"/>
          <w:numId w:val="19"/>
        </w:numPr>
        <w:spacing w:line="240" w:lineRule="exact"/>
        <w:rPr>
          <w:rFonts w:cs="Arial"/>
          <w:lang w:val="es-ES_tradnl"/>
        </w:rPr>
      </w:pPr>
      <w:bookmarkStart w:id="8" w:name="_Toc203465846"/>
      <w:bookmarkStart w:id="9" w:name="_Toc153073159"/>
      <w:bookmarkStart w:id="10" w:name="_Toc435926701"/>
      <w:bookmarkEnd w:id="1"/>
      <w:bookmarkEnd w:id="2"/>
      <w:bookmarkEnd w:id="3"/>
      <w:bookmarkEnd w:id="4"/>
      <w:bookmarkEnd w:id="5"/>
      <w:bookmarkEnd w:id="6"/>
      <w:r w:rsidRPr="00F379A3">
        <w:rPr>
          <w:lang w:val="es-ES_tradnl"/>
        </w:rPr>
        <w:lastRenderedPageBreak/>
        <w:t>Contexto</w:t>
      </w:r>
      <w:bookmarkEnd w:id="8"/>
    </w:p>
    <w:bookmarkEnd w:id="9"/>
    <w:bookmarkEnd w:id="10"/>
    <w:p w14:paraId="29A5436A" w14:textId="77777777" w:rsidR="00B66A9C" w:rsidRPr="00F379A3" w:rsidRDefault="00B66A9C" w:rsidP="00F379A3">
      <w:pPr>
        <w:spacing w:line="240" w:lineRule="exact"/>
        <w:rPr>
          <w:rFonts w:cs="Arial"/>
          <w:lang w:val="es-ES_tradnl"/>
        </w:rPr>
      </w:pPr>
    </w:p>
    <w:p w14:paraId="44180662" w14:textId="77777777" w:rsidR="00B66A9C" w:rsidRPr="00F379A3" w:rsidRDefault="00B66A9C" w:rsidP="00F379A3">
      <w:pPr>
        <w:spacing w:line="240" w:lineRule="exact"/>
        <w:rPr>
          <w:rFonts w:cs="Arial"/>
          <w:lang w:val="es-ES_tradnl"/>
        </w:rPr>
      </w:pPr>
      <w:r w:rsidRPr="00F379A3">
        <w:rPr>
          <w:lang w:val="es-ES_tradnl"/>
        </w:rPr>
        <w:t xml:space="preserve">En todo el mundo, las redes postales representan una importante pasarela para habilitar los servicios financieros digitales, avanzar en la inclusión financiera y relacionarse con una base de clientes postales diversos, </w:t>
      </w:r>
      <w:proofErr w:type="spellStart"/>
      <w:r w:rsidRPr="00F379A3">
        <w:rPr>
          <w:lang w:val="es-ES_tradnl"/>
        </w:rPr>
        <w:t>subatendidos</w:t>
      </w:r>
      <w:proofErr w:type="spellEnd"/>
      <w:r w:rsidRPr="00F379A3">
        <w:rPr>
          <w:lang w:val="es-ES_tradnl"/>
        </w:rPr>
        <w:t xml:space="preserve"> y no bancarizados, que tienen una gran afinidad con la comunidad postal. Cuando disponen de los productos, las asociaciones y las tecnologías adecuados, los operadores designados pueden mejorar sus capacidades de inclusión financiera para ofrecer soluciones de pago, de ahorro, de seguro inclusivo y de microfinanzas.</w:t>
      </w:r>
    </w:p>
    <w:p w14:paraId="68B9C560" w14:textId="77777777" w:rsidR="00B66A9C" w:rsidRPr="00F379A3" w:rsidRDefault="00B66A9C" w:rsidP="00F379A3">
      <w:pPr>
        <w:spacing w:line="240" w:lineRule="exact"/>
        <w:rPr>
          <w:rFonts w:cs="Arial"/>
          <w:lang w:val="es-ES_tradnl"/>
        </w:rPr>
      </w:pPr>
    </w:p>
    <w:p w14:paraId="39D5E3AB" w14:textId="77777777" w:rsidR="00B66A9C" w:rsidRPr="00F379A3" w:rsidRDefault="00B66A9C" w:rsidP="00F379A3">
      <w:pPr>
        <w:spacing w:line="240" w:lineRule="exact"/>
        <w:rPr>
          <w:rFonts w:cs="Arial"/>
          <w:lang w:val="es-ES_tradnl"/>
        </w:rPr>
      </w:pPr>
      <w:r w:rsidRPr="00F379A3">
        <w:rPr>
          <w:lang w:val="es-ES_tradnl"/>
        </w:rPr>
        <w:t xml:space="preserve">Esta capacidad estratégica y única de la red postal para llegar a la clientela </w:t>
      </w:r>
      <w:proofErr w:type="spellStart"/>
      <w:r w:rsidRPr="00F379A3">
        <w:rPr>
          <w:lang w:val="es-ES_tradnl"/>
        </w:rPr>
        <w:t>subatendida</w:t>
      </w:r>
      <w:proofErr w:type="spellEnd"/>
      <w:r w:rsidRPr="00F379A3">
        <w:rPr>
          <w:lang w:val="es-ES_tradnl"/>
        </w:rPr>
        <w:t xml:space="preserve"> permite el despliegue de modelos de participación en la inclusión financiera, en colaboración con los actores del sector privado y del ecosistema local. El poder de la colaboración público-privada para lograr objetivos comunes de inclusión financiera es inmenso. Estas asociaciones brindan a los operadores designados acceso a herramientas y soluciones innovadoras que los ayudan a contribuir a los objetivos nacionales en materia de inclusión financiera.</w:t>
      </w:r>
    </w:p>
    <w:p w14:paraId="5D8BF142" w14:textId="77777777" w:rsidR="00B66A9C" w:rsidRPr="00F379A3" w:rsidRDefault="00B66A9C" w:rsidP="00F379A3">
      <w:pPr>
        <w:spacing w:line="240" w:lineRule="exact"/>
        <w:rPr>
          <w:rFonts w:cs="Arial"/>
          <w:lang w:val="es-ES_tradnl"/>
        </w:rPr>
      </w:pPr>
    </w:p>
    <w:p w14:paraId="5CB35E85" w14:textId="4F158D24" w:rsidR="00B66A9C" w:rsidRPr="00F379A3" w:rsidRDefault="00B66A9C" w:rsidP="00F379A3">
      <w:pPr>
        <w:spacing w:line="240" w:lineRule="exact"/>
        <w:rPr>
          <w:rFonts w:cs="Arial"/>
          <w:lang w:val="es-ES_tradnl"/>
        </w:rPr>
      </w:pPr>
      <w:r w:rsidRPr="00F379A3">
        <w:rPr>
          <w:lang w:val="es-ES_tradnl"/>
        </w:rPr>
        <w:t>Tras la implementación del mecanismo de asistencia técnica para la inclusión financiera de la UPU (</w:t>
      </w:r>
      <w:proofErr w:type="spellStart"/>
      <w:r w:rsidRPr="00F379A3">
        <w:rPr>
          <w:lang w:val="es-ES_tradnl"/>
        </w:rPr>
        <w:t>FITAF</w:t>
      </w:r>
      <w:proofErr w:type="spellEnd"/>
      <w:r w:rsidRPr="00F379A3">
        <w:rPr>
          <w:lang w:val="es-ES_tradnl"/>
        </w:rPr>
        <w:t xml:space="preserve">), realizada en 2023 en colaboración con Visa y la Gates </w:t>
      </w:r>
      <w:proofErr w:type="spellStart"/>
      <w:r w:rsidRPr="00F379A3">
        <w:rPr>
          <w:lang w:val="es-ES_tradnl"/>
        </w:rPr>
        <w:t>Foundation</w:t>
      </w:r>
      <w:proofErr w:type="spellEnd"/>
      <w:r w:rsidRPr="00F379A3">
        <w:rPr>
          <w:lang w:val="es-ES_tradnl"/>
        </w:rPr>
        <w:t xml:space="preserve">, la UPU creó un nuevo programa en asociación con Visa </w:t>
      </w:r>
      <w:proofErr w:type="spellStart"/>
      <w:r w:rsidRPr="00F379A3">
        <w:rPr>
          <w:lang w:val="es-ES_tradnl"/>
        </w:rPr>
        <w:t>Europe</w:t>
      </w:r>
      <w:proofErr w:type="spellEnd"/>
      <w:r w:rsidRPr="00F379A3">
        <w:rPr>
          <w:lang w:val="es-ES_tradnl"/>
        </w:rPr>
        <w:t xml:space="preserve"> </w:t>
      </w:r>
      <w:proofErr w:type="spellStart"/>
      <w:r w:rsidRPr="00F379A3">
        <w:rPr>
          <w:lang w:val="es-ES_tradnl"/>
        </w:rPr>
        <w:t>Limited</w:t>
      </w:r>
      <w:proofErr w:type="spellEnd"/>
      <w:r w:rsidRPr="00F379A3">
        <w:rPr>
          <w:lang w:val="es-ES_tradnl"/>
        </w:rPr>
        <w:t>, a saber, el mecanismo de asistencia técnica para la financiación inclusiva postal (</w:t>
      </w:r>
      <w:proofErr w:type="spellStart"/>
      <w:r w:rsidRPr="00F379A3">
        <w:rPr>
          <w:lang w:val="es-ES_tradnl"/>
        </w:rPr>
        <w:t>FITAF</w:t>
      </w:r>
      <w:proofErr w:type="spellEnd"/>
      <w:r w:rsidRPr="00F379A3">
        <w:rPr>
          <w:lang w:val="es-ES_tradnl"/>
        </w:rPr>
        <w:t xml:space="preserve"> 2). Este nuevo programa se centrará en la promoción del papel de los operadores designados para ofrecer soluciones y capacidades pertinentes en materia de financiación inclusiva a sus clientes postales. Visa participará en el programa en calidad de asesor para ofrecer las últimas innovaciones y conocimientos, así como nuevos modelos de expansión </w:t>
      </w:r>
      <w:r w:rsidR="00865C21" w:rsidRPr="00F379A3">
        <w:rPr>
          <w:lang w:val="es-ES_tradnl"/>
        </w:rPr>
        <w:t>de servicios</w:t>
      </w:r>
      <w:r w:rsidRPr="00F379A3">
        <w:rPr>
          <w:lang w:val="es-ES_tradnl"/>
        </w:rPr>
        <w:t xml:space="preserve"> financieros digitales inclusivos.</w:t>
      </w:r>
    </w:p>
    <w:p w14:paraId="683E0395" w14:textId="77777777" w:rsidR="00B66A9C" w:rsidRPr="00F379A3" w:rsidRDefault="00B66A9C" w:rsidP="00F379A3">
      <w:pPr>
        <w:spacing w:line="240" w:lineRule="exact"/>
        <w:rPr>
          <w:rFonts w:cs="Arial"/>
          <w:lang w:val="es-ES_tradnl"/>
        </w:rPr>
      </w:pPr>
    </w:p>
    <w:p w14:paraId="2E1C6138" w14:textId="2C3EFBB0" w:rsidR="00B66A9C" w:rsidRPr="00F379A3" w:rsidRDefault="00B66A9C" w:rsidP="00F379A3">
      <w:pPr>
        <w:spacing w:line="240" w:lineRule="exact"/>
        <w:rPr>
          <w:rFonts w:cs="Arial"/>
          <w:lang w:val="es-ES_tradnl"/>
        </w:rPr>
      </w:pPr>
      <w:r w:rsidRPr="00F379A3">
        <w:rPr>
          <w:lang w:val="es-ES_tradnl"/>
        </w:rPr>
        <w:t xml:space="preserve">Mediante el programa </w:t>
      </w:r>
      <w:proofErr w:type="spellStart"/>
      <w:r w:rsidRPr="00F379A3">
        <w:rPr>
          <w:lang w:val="es-ES_tradnl"/>
        </w:rPr>
        <w:t>FITAF</w:t>
      </w:r>
      <w:proofErr w:type="spellEnd"/>
      <w:r w:rsidRPr="00F379A3">
        <w:rPr>
          <w:lang w:val="es-ES_tradnl"/>
        </w:rPr>
        <w:t xml:space="preserve"> 2, la UPU ofrece a los operadores designados de los Países miembros de la UPU la oportunidad de solicitar programas y proyectos de inclusión financiera. Estos proyectos tienen como objetivo apoyar a los operadores designados participantes mediante la realización de una evaluación completa de sus actuales niveles de preparación para la inclusión financiera, con el fin de mejorar sus </w:t>
      </w:r>
      <w:r w:rsidR="00865C21" w:rsidRPr="00F379A3">
        <w:rPr>
          <w:lang w:val="es-ES_tradnl"/>
        </w:rPr>
        <w:t>capacidades en</w:t>
      </w:r>
      <w:r w:rsidRPr="00F379A3">
        <w:rPr>
          <w:lang w:val="es-ES_tradnl"/>
        </w:rPr>
        <w:t xml:space="preserve"> materia de financiación inclusiva digital.</w:t>
      </w:r>
    </w:p>
    <w:p w14:paraId="11CA5F03" w14:textId="77777777" w:rsidR="00B66A9C" w:rsidRPr="00F379A3" w:rsidRDefault="00B66A9C" w:rsidP="00F379A3">
      <w:pPr>
        <w:spacing w:line="240" w:lineRule="exact"/>
        <w:rPr>
          <w:rFonts w:cs="Arial"/>
          <w:lang w:val="es-ES_tradnl"/>
        </w:rPr>
      </w:pPr>
    </w:p>
    <w:p w14:paraId="1BABBC60" w14:textId="08D46D95" w:rsidR="00B66A9C" w:rsidRPr="00F379A3" w:rsidRDefault="00B66A9C" w:rsidP="00F379A3">
      <w:pPr>
        <w:spacing w:line="240" w:lineRule="exact"/>
        <w:rPr>
          <w:rFonts w:cs="Arial"/>
          <w:lang w:val="es-ES_tradnl"/>
        </w:rPr>
      </w:pPr>
      <w:r w:rsidRPr="00F379A3">
        <w:rPr>
          <w:lang w:val="es-ES_tradnl"/>
        </w:rPr>
        <w:t xml:space="preserve">Los resultados previstos de la participación de los operadores designados en el programa </w:t>
      </w:r>
      <w:proofErr w:type="spellStart"/>
      <w:r w:rsidRPr="00F379A3">
        <w:rPr>
          <w:lang w:val="es-ES_tradnl"/>
        </w:rPr>
        <w:t>FITAF</w:t>
      </w:r>
      <w:proofErr w:type="spellEnd"/>
      <w:r w:rsidRPr="00F379A3">
        <w:rPr>
          <w:lang w:val="es-ES_tradnl"/>
        </w:rPr>
        <w:t xml:space="preserve"> 2 puede</w:t>
      </w:r>
      <w:r w:rsidR="007B6109" w:rsidRPr="00F379A3">
        <w:rPr>
          <w:lang w:val="es-ES_tradnl"/>
        </w:rPr>
        <w:t>n</w:t>
      </w:r>
      <w:r w:rsidRPr="00F379A3">
        <w:rPr>
          <w:lang w:val="es-ES_tradnl"/>
        </w:rPr>
        <w:t xml:space="preserve"> resumirse de la manera siguiente:</w:t>
      </w:r>
    </w:p>
    <w:p w14:paraId="266670E4"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Evaluación completa del nivel de preparación para la financiación inclusiva digital del operador designado.</w:t>
      </w:r>
    </w:p>
    <w:p w14:paraId="43058F47" w14:textId="1096EBCF" w:rsidR="00B66A9C" w:rsidRPr="00F379A3" w:rsidRDefault="00B66A9C" w:rsidP="00F379A3">
      <w:pPr>
        <w:pStyle w:val="1Premierretrait"/>
        <w:numPr>
          <w:ilvl w:val="0"/>
          <w:numId w:val="13"/>
        </w:numPr>
        <w:spacing w:line="240" w:lineRule="exact"/>
        <w:rPr>
          <w:lang w:val="es-ES_tradnl"/>
        </w:rPr>
      </w:pPr>
      <w:r w:rsidRPr="00F379A3">
        <w:rPr>
          <w:lang w:val="es-ES_tradnl"/>
        </w:rPr>
        <w:t>Identificación de los productos y soluciones necesarios para impulsar y/o mejorar las soluciones de financiación inclusiva digital nuevas o existentes y garantizar la diversificación para permitir la escalabilidad.</w:t>
      </w:r>
    </w:p>
    <w:p w14:paraId="47567654"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Recomendaciones, sobre la base de la evaluación del mercado realizada, para adoptar los modelos operativos y de asociación más viables en materia de financiación inclusiva para integrar a los planes estratégicos de crecimiento postal.</w:t>
      </w:r>
    </w:p>
    <w:p w14:paraId="5B063EB1" w14:textId="30DE8188" w:rsidR="00B66A9C" w:rsidRPr="00F379A3" w:rsidRDefault="00B66A9C" w:rsidP="00F379A3">
      <w:pPr>
        <w:pStyle w:val="1Premierretrait"/>
        <w:numPr>
          <w:ilvl w:val="0"/>
          <w:numId w:val="13"/>
        </w:numPr>
        <w:spacing w:line="240" w:lineRule="exact"/>
        <w:rPr>
          <w:lang w:val="es-ES_tradnl"/>
        </w:rPr>
      </w:pPr>
      <w:r w:rsidRPr="00F379A3">
        <w:rPr>
          <w:lang w:val="es-ES_tradnl"/>
        </w:rPr>
        <w:t>Capacidad del operador designado para ampliar su oferta actual de soluciones a través de llamados a licitación para nuevos productos y soluciones o la facilitación de asociaciones que puedan mejorar las capacidades en materia de financiación inclusiva del operador designado, conforme a la reglamentación local en materia de contratación.</w:t>
      </w:r>
    </w:p>
    <w:p w14:paraId="19A005C3"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Asistencia y apoyo al operador designado para contribuir a las prioridades nacionales en materia de inclusión financiera.</w:t>
      </w:r>
    </w:p>
    <w:p w14:paraId="2B09CE2D" w14:textId="77777777" w:rsidR="00B66A9C" w:rsidRPr="00F379A3" w:rsidRDefault="00B66A9C" w:rsidP="00F379A3">
      <w:pPr>
        <w:spacing w:line="240" w:lineRule="exact"/>
        <w:rPr>
          <w:rFonts w:cs="Arial"/>
          <w:lang w:val="es-ES_tradnl"/>
        </w:rPr>
      </w:pPr>
    </w:p>
    <w:p w14:paraId="32376100" w14:textId="0B4E3ED9" w:rsidR="00B66A9C" w:rsidRPr="00F379A3" w:rsidRDefault="00B66A9C" w:rsidP="00F379A3">
      <w:pPr>
        <w:spacing w:line="240" w:lineRule="exact"/>
        <w:rPr>
          <w:rFonts w:cs="Arial"/>
          <w:lang w:val="es-ES_tradnl"/>
        </w:rPr>
      </w:pPr>
      <w:r w:rsidRPr="00F379A3">
        <w:rPr>
          <w:lang w:val="es-ES_tradnl"/>
        </w:rPr>
        <w:t xml:space="preserve">Para garantizar la implementación eficaz del programa y lograr las repercusiones deseadas, los expertos de Visa y sus representantes locales trabajarán junto con el equipo de proyecto </w:t>
      </w:r>
      <w:proofErr w:type="spellStart"/>
      <w:r w:rsidRPr="00F379A3">
        <w:rPr>
          <w:lang w:val="es-ES_tradnl"/>
        </w:rPr>
        <w:t>FITAF</w:t>
      </w:r>
      <w:proofErr w:type="spellEnd"/>
      <w:r w:rsidRPr="00F379A3">
        <w:rPr>
          <w:lang w:val="es-ES_tradnl"/>
        </w:rPr>
        <w:t xml:space="preserve"> 2 y los operadores designados a lo largo del ciclo de vida del proyecto para aportar las mejores prácticas mundiales y los conocimientos locales. Para los operadores designados participantes, los resultados del proyecto previstos son la </w:t>
      </w:r>
      <w:r w:rsidR="00B84477" w:rsidRPr="00F379A3">
        <w:rPr>
          <w:lang w:val="es-ES_tradnl"/>
        </w:rPr>
        <w:t xml:space="preserve">elaboración </w:t>
      </w:r>
      <w:r w:rsidRPr="00F379A3">
        <w:rPr>
          <w:lang w:val="es-ES_tradnl"/>
        </w:rPr>
        <w:t xml:space="preserve">de planes de expansión de la financiación inclusiva postal y de un marco asociado, incluidos </w:t>
      </w:r>
      <w:r w:rsidR="00B84477" w:rsidRPr="00F379A3">
        <w:rPr>
          <w:lang w:val="es-ES_tradnl"/>
        </w:rPr>
        <w:t xml:space="preserve">los </w:t>
      </w:r>
      <w:r w:rsidRPr="00F379A3">
        <w:rPr>
          <w:lang w:val="es-ES_tradnl"/>
        </w:rPr>
        <w:t xml:space="preserve">modelos de despliegue, la diversificación de productos/soluciones, </w:t>
      </w:r>
      <w:r w:rsidR="00B84477" w:rsidRPr="00F379A3">
        <w:rPr>
          <w:lang w:val="es-ES_tradnl"/>
        </w:rPr>
        <w:t xml:space="preserve">las </w:t>
      </w:r>
      <w:r w:rsidRPr="00F379A3">
        <w:rPr>
          <w:lang w:val="es-ES_tradnl"/>
        </w:rPr>
        <w:t xml:space="preserve">opciones de asociación, </w:t>
      </w:r>
      <w:r w:rsidR="00B84477" w:rsidRPr="00F379A3">
        <w:rPr>
          <w:lang w:val="es-ES_tradnl"/>
        </w:rPr>
        <w:t xml:space="preserve">el </w:t>
      </w:r>
      <w:r w:rsidRPr="00F379A3">
        <w:rPr>
          <w:lang w:val="es-ES_tradnl"/>
        </w:rPr>
        <w:t xml:space="preserve">enfoque en el segmento de clientela, </w:t>
      </w:r>
      <w:r w:rsidR="00B84477" w:rsidRPr="00F379A3">
        <w:rPr>
          <w:lang w:val="es-ES_tradnl"/>
        </w:rPr>
        <w:t xml:space="preserve">la </w:t>
      </w:r>
      <w:r w:rsidRPr="00F379A3">
        <w:rPr>
          <w:lang w:val="es-ES_tradnl"/>
        </w:rPr>
        <w:t xml:space="preserve">educación de la clientela y </w:t>
      </w:r>
      <w:r w:rsidR="00B84477" w:rsidRPr="00F379A3">
        <w:rPr>
          <w:lang w:val="es-ES_tradnl"/>
        </w:rPr>
        <w:t xml:space="preserve">los </w:t>
      </w:r>
      <w:r w:rsidRPr="00F379A3">
        <w:rPr>
          <w:lang w:val="es-ES_tradnl"/>
        </w:rPr>
        <w:t>modelos de utilización.</w:t>
      </w:r>
    </w:p>
    <w:p w14:paraId="11910FE0" w14:textId="77777777" w:rsidR="00B66A9C" w:rsidRPr="00F379A3" w:rsidRDefault="00B66A9C" w:rsidP="00F379A3">
      <w:pPr>
        <w:spacing w:line="240" w:lineRule="exact"/>
        <w:rPr>
          <w:rFonts w:cs="Arial"/>
          <w:lang w:val="es-ES_tradnl"/>
        </w:rPr>
      </w:pPr>
    </w:p>
    <w:p w14:paraId="051AB3CF" w14:textId="77777777" w:rsidR="00B66A9C" w:rsidRPr="00F379A3" w:rsidRDefault="00B66A9C" w:rsidP="00F379A3">
      <w:pPr>
        <w:pStyle w:val="0Textedebase"/>
        <w:spacing w:line="240" w:lineRule="exact"/>
        <w:rPr>
          <w:rFonts w:cs="Arial"/>
          <w:lang w:val="es-ES_tradnl"/>
        </w:rPr>
      </w:pPr>
      <w:bookmarkStart w:id="11" w:name="_Toc153073160"/>
      <w:bookmarkStart w:id="12" w:name="_Toc528119904"/>
      <w:bookmarkStart w:id="13" w:name="_Toc435926735"/>
      <w:bookmarkStart w:id="14" w:name="_Toc435926733"/>
      <w:bookmarkStart w:id="15" w:name="_Ref526321031"/>
    </w:p>
    <w:p w14:paraId="6C70BED9" w14:textId="77777777" w:rsidR="00B66A9C" w:rsidRPr="00F379A3" w:rsidRDefault="00B66A9C" w:rsidP="00F379A3">
      <w:pPr>
        <w:pStyle w:val="Ttulo1"/>
        <w:pageBreakBefore/>
        <w:numPr>
          <w:ilvl w:val="0"/>
          <w:numId w:val="19"/>
        </w:numPr>
        <w:spacing w:line="240" w:lineRule="exact"/>
        <w:ind w:left="573" w:hanging="573"/>
        <w:rPr>
          <w:rFonts w:cs="Arial"/>
          <w:lang w:val="es-ES_tradnl"/>
        </w:rPr>
      </w:pPr>
      <w:bookmarkStart w:id="16" w:name="_Toc203465847"/>
      <w:r w:rsidRPr="00F379A3">
        <w:rPr>
          <w:lang w:val="es-ES_tradnl"/>
        </w:rPr>
        <w:lastRenderedPageBreak/>
        <w:t>Objetivos y alcance de los proyectos considerados</w:t>
      </w:r>
      <w:bookmarkEnd w:id="16"/>
    </w:p>
    <w:p w14:paraId="3C5682F1" w14:textId="77777777" w:rsidR="00B66A9C" w:rsidRPr="00F379A3" w:rsidRDefault="00B66A9C" w:rsidP="00F379A3">
      <w:pPr>
        <w:widowControl w:val="0"/>
        <w:spacing w:line="240" w:lineRule="exact"/>
        <w:rPr>
          <w:rFonts w:cs="Arial"/>
          <w:lang w:val="es-ES_tradnl"/>
        </w:rPr>
      </w:pPr>
    </w:p>
    <w:p w14:paraId="5DEA37FB" w14:textId="77777777" w:rsidR="00B66A9C" w:rsidRPr="00F379A3" w:rsidRDefault="00B66A9C" w:rsidP="00F379A3">
      <w:pPr>
        <w:widowControl w:val="0"/>
        <w:spacing w:line="240" w:lineRule="exact"/>
        <w:rPr>
          <w:rFonts w:cs="Arial"/>
          <w:lang w:val="es-ES_tradnl"/>
        </w:rPr>
      </w:pPr>
      <w:r w:rsidRPr="00F379A3">
        <w:rPr>
          <w:lang w:val="es-ES_tradnl"/>
        </w:rPr>
        <w:t>La UPU apoyará los proyectos seleccionados que cumplan los criterios establecidos a continuación (sujeto a la celebración del instrumento contractual pertinente entre la UPU y cada operador designado participante), centrándose prioritariamente en proyectos que fomenten, permitan y desplieguen capacidades en materia de financiación inclusiva digital.</w:t>
      </w:r>
    </w:p>
    <w:p w14:paraId="7D728F9E" w14:textId="77777777" w:rsidR="00B66A9C" w:rsidRPr="00F379A3" w:rsidRDefault="00B66A9C" w:rsidP="00F379A3">
      <w:pPr>
        <w:widowControl w:val="0"/>
        <w:spacing w:line="240" w:lineRule="exact"/>
        <w:rPr>
          <w:rFonts w:cs="Arial"/>
          <w:lang w:val="es-ES_tradnl"/>
        </w:rPr>
      </w:pPr>
    </w:p>
    <w:p w14:paraId="2EFC8EC5" w14:textId="2FA47712" w:rsidR="00B66A9C" w:rsidRPr="00F379A3" w:rsidRDefault="00B66A9C" w:rsidP="00F379A3">
      <w:pPr>
        <w:widowControl w:val="0"/>
        <w:spacing w:line="240" w:lineRule="exact"/>
        <w:rPr>
          <w:rFonts w:cs="Arial"/>
          <w:lang w:val="es-ES_tradnl"/>
        </w:rPr>
      </w:pPr>
      <w:r w:rsidRPr="00F379A3">
        <w:rPr>
          <w:lang w:val="es-ES_tradnl"/>
        </w:rPr>
        <w:t>Estos proyectos debe</w:t>
      </w:r>
      <w:r w:rsidR="00DF39A3" w:rsidRPr="00F379A3">
        <w:rPr>
          <w:lang w:val="es-ES_tradnl"/>
        </w:rPr>
        <w:t>rá</w:t>
      </w:r>
      <w:r w:rsidRPr="00F379A3">
        <w:rPr>
          <w:lang w:val="es-ES_tradnl"/>
        </w:rPr>
        <w:t>n centrarse en las áreas siguientes:</w:t>
      </w:r>
    </w:p>
    <w:p w14:paraId="29FDE479"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Evaluación completa de las necesidades del segmento de clientela de los servicios financieros digitales postales, con especial atención a las micro, pequeñas y medianas empresas (</w:t>
      </w:r>
      <w:proofErr w:type="spellStart"/>
      <w:r w:rsidRPr="00F379A3">
        <w:rPr>
          <w:lang w:val="es-ES_tradnl"/>
        </w:rPr>
        <w:t>mipymes</w:t>
      </w:r>
      <w:proofErr w:type="spellEnd"/>
      <w:r w:rsidRPr="00F379A3">
        <w:rPr>
          <w:lang w:val="es-ES_tradnl"/>
        </w:rPr>
        <w:t xml:space="preserve">), las mujeres, los pequeños agricultores, los jóvenes y otras poblaciones </w:t>
      </w:r>
      <w:proofErr w:type="spellStart"/>
      <w:r w:rsidRPr="00F379A3">
        <w:rPr>
          <w:lang w:val="es-ES_tradnl"/>
        </w:rPr>
        <w:t>subatendidas</w:t>
      </w:r>
      <w:proofErr w:type="spellEnd"/>
      <w:r w:rsidRPr="00F379A3">
        <w:rPr>
          <w:lang w:val="es-ES_tradnl"/>
        </w:rPr>
        <w:t>.</w:t>
      </w:r>
    </w:p>
    <w:p w14:paraId="0C32C5AF"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Los productos, soluciones e infraestructura técnica de servicios financieros digitales postales más pertinentes e innovadores para cada segmento de clientela, conforme a las disposiciones reglamentarias.</w:t>
      </w:r>
    </w:p>
    <w:p w14:paraId="4B3578CE"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Planes de educación, alfabetización y fortalecimiento de capacidades, incluidos los modelos de utilización y de activación.</w:t>
      </w:r>
    </w:p>
    <w:p w14:paraId="5D685F36" w14:textId="128FC452" w:rsidR="00B66A9C" w:rsidRPr="00F379A3" w:rsidRDefault="00B66A9C" w:rsidP="00F379A3">
      <w:pPr>
        <w:pStyle w:val="1Premierretrait"/>
        <w:numPr>
          <w:ilvl w:val="0"/>
          <w:numId w:val="13"/>
        </w:numPr>
        <w:spacing w:line="240" w:lineRule="exact"/>
        <w:rPr>
          <w:lang w:val="es-ES_tradnl"/>
        </w:rPr>
      </w:pPr>
      <w:r w:rsidRPr="00F379A3">
        <w:rPr>
          <w:lang w:val="es-ES_tradnl"/>
        </w:rPr>
        <w:t xml:space="preserve">Planes de proyecto específicos por país y sugerencias sobre los modelos operativos de asociación para los servicios financieros digitales postales y planes </w:t>
      </w:r>
      <w:r w:rsidR="00865C21" w:rsidRPr="00F379A3">
        <w:rPr>
          <w:lang w:val="es-ES_tradnl"/>
        </w:rPr>
        <w:t>de lanzamiento</w:t>
      </w:r>
      <w:r w:rsidRPr="00F379A3">
        <w:rPr>
          <w:lang w:val="es-ES_tradnl"/>
        </w:rPr>
        <w:t xml:space="preserve"> al mercado para la búsqueda de socios de servicios financieros digitales nacionales.</w:t>
      </w:r>
    </w:p>
    <w:p w14:paraId="0819756F" w14:textId="1AEC13C6" w:rsidR="00B66A9C" w:rsidRPr="00F379A3" w:rsidRDefault="00B66A9C" w:rsidP="00F379A3">
      <w:pPr>
        <w:pStyle w:val="1Premierretrait"/>
        <w:numPr>
          <w:ilvl w:val="0"/>
          <w:numId w:val="13"/>
        </w:numPr>
        <w:spacing w:line="240" w:lineRule="exact"/>
        <w:rPr>
          <w:lang w:val="es-ES_tradnl"/>
        </w:rPr>
      </w:pPr>
      <w:r w:rsidRPr="00F379A3">
        <w:rPr>
          <w:lang w:val="es-ES_tradnl"/>
        </w:rPr>
        <w:t xml:space="preserve">Propuesta de valor de los operadores designados y de los servicios financieros digitales, </w:t>
      </w:r>
      <w:r w:rsidR="00865C21" w:rsidRPr="00F379A3">
        <w:rPr>
          <w:lang w:val="es-ES_tradnl"/>
        </w:rPr>
        <w:t>como las</w:t>
      </w:r>
      <w:r w:rsidRPr="00F379A3">
        <w:rPr>
          <w:lang w:val="es-ES_tradnl"/>
        </w:rPr>
        <w:t xml:space="preserve"> repercusiones en el desarrollo postal, el ahorro de costos, la creación de ingresos, el acceso digital, las asociaciones gubernamentales, la educación financiera, las asociaciones en el ecosistema de los servicios financieros digitales y/o los objetivos nacionales en materia de inclusión financiera.</w:t>
      </w:r>
    </w:p>
    <w:p w14:paraId="53BADC7E" w14:textId="77777777" w:rsidR="00B66A9C" w:rsidRPr="00F379A3" w:rsidRDefault="00B66A9C" w:rsidP="00F379A3">
      <w:pPr>
        <w:widowControl w:val="0"/>
        <w:spacing w:line="240" w:lineRule="exact"/>
        <w:rPr>
          <w:rFonts w:cs="Arial"/>
          <w:lang w:val="es-ES_tradnl"/>
        </w:rPr>
      </w:pPr>
    </w:p>
    <w:p w14:paraId="42A9BE51" w14:textId="77777777" w:rsidR="00B66A9C" w:rsidRPr="00F379A3" w:rsidRDefault="00B66A9C" w:rsidP="00F379A3">
      <w:pPr>
        <w:widowControl w:val="0"/>
        <w:spacing w:line="240" w:lineRule="exact"/>
        <w:rPr>
          <w:rFonts w:cs="Arial"/>
          <w:lang w:val="es-ES_tradnl"/>
        </w:rPr>
      </w:pPr>
    </w:p>
    <w:p w14:paraId="04F6FC86" w14:textId="77777777" w:rsidR="00B66A9C" w:rsidRPr="00F379A3" w:rsidRDefault="00B66A9C" w:rsidP="00F379A3">
      <w:pPr>
        <w:pStyle w:val="Ttulo1"/>
        <w:spacing w:line="240" w:lineRule="exact"/>
        <w:rPr>
          <w:rFonts w:cs="Arial"/>
          <w:lang w:val="es-ES_tradnl"/>
        </w:rPr>
      </w:pPr>
      <w:bookmarkStart w:id="17" w:name="_Toc203465848"/>
      <w:r w:rsidRPr="00F379A3">
        <w:rPr>
          <w:lang w:val="es-ES_tradnl"/>
        </w:rPr>
        <w:t>3.</w:t>
      </w:r>
      <w:r w:rsidRPr="00F379A3">
        <w:rPr>
          <w:lang w:val="es-ES_tradnl"/>
        </w:rPr>
        <w:tab/>
        <w:t>Evaluación y selección de propuestas</w:t>
      </w:r>
      <w:bookmarkEnd w:id="17"/>
    </w:p>
    <w:p w14:paraId="12426504" w14:textId="77777777" w:rsidR="00B66A9C" w:rsidRPr="00F379A3" w:rsidRDefault="00B66A9C" w:rsidP="00F379A3">
      <w:pPr>
        <w:widowControl w:val="0"/>
        <w:spacing w:line="240" w:lineRule="exact"/>
        <w:rPr>
          <w:rFonts w:cs="Arial"/>
          <w:lang w:val="es-ES_tradnl"/>
        </w:rPr>
      </w:pPr>
    </w:p>
    <w:p w14:paraId="182A171C" w14:textId="5EE9C331" w:rsidR="00B66A9C" w:rsidRPr="00F379A3" w:rsidRDefault="00B66A9C" w:rsidP="00F379A3">
      <w:pPr>
        <w:widowControl w:val="0"/>
        <w:spacing w:line="240" w:lineRule="exact"/>
        <w:rPr>
          <w:rFonts w:cs="Arial"/>
          <w:lang w:val="es-ES_tradnl"/>
        </w:rPr>
      </w:pPr>
      <w:r w:rsidRPr="00F379A3">
        <w:rPr>
          <w:lang w:val="es-ES_tradnl"/>
        </w:rPr>
        <w:t>La UPU examinará las propuestas de proyectos en función de su alcance, objetivos y posibles repercusiones para el usuario final (</w:t>
      </w:r>
      <w:r w:rsidR="00B22C1B" w:rsidRPr="00F379A3">
        <w:rPr>
          <w:lang w:val="es-ES_tradnl"/>
        </w:rPr>
        <w:t>el</w:t>
      </w:r>
      <w:r w:rsidRPr="00F379A3">
        <w:rPr>
          <w:lang w:val="es-ES_tradnl"/>
        </w:rPr>
        <w:t xml:space="preserve"> cliente). Todas las propuestas recibidas se evaluarán sobre la base de los criterios establecidos por la UPU, incluidos los siguientes:</w:t>
      </w:r>
    </w:p>
    <w:p w14:paraId="21C539AE"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Un marco jurídico y reglamentario propicio y una trayectoria demostrada en la oferta de servicios financieros digitales directamente o a través de asociaciones.</w:t>
      </w:r>
    </w:p>
    <w:p w14:paraId="26429E01"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Posibilidades de ajustarse a las iniciativas gubernamentales para mejorar la inclusión financiera del operador designado, como los proyectos de desembolsos del Gobierno por medio del operador designado.</w:t>
      </w:r>
    </w:p>
    <w:p w14:paraId="64B46560"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Compromiso de la dirección ejecutiva del operador designado para priorizar el desarrollo de los servicios financieros digitales en apoyo de los objetivos nacionales en materia de inclusión financiera.</w:t>
      </w:r>
    </w:p>
    <w:p w14:paraId="77A20BFB"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Pertinencia del proyecto propuesto para las prioridades nacionales en materia de inclusión financiera y de financiación inclusiva, y avance de la reglamentación de los servicios financieros digitales según los objetivos del programa.</w:t>
      </w:r>
    </w:p>
    <w:p w14:paraId="1EB2A2E8" w14:textId="38B9822B" w:rsidR="00B66A9C" w:rsidRPr="00F379A3" w:rsidRDefault="00B66A9C" w:rsidP="00F379A3">
      <w:pPr>
        <w:pStyle w:val="1Premierretrait"/>
        <w:numPr>
          <w:ilvl w:val="0"/>
          <w:numId w:val="13"/>
        </w:numPr>
        <w:spacing w:line="240" w:lineRule="exact"/>
        <w:rPr>
          <w:lang w:val="es-ES_tradnl"/>
        </w:rPr>
      </w:pPr>
      <w:r w:rsidRPr="00F379A3">
        <w:rPr>
          <w:lang w:val="es-ES_tradnl"/>
        </w:rPr>
        <w:t>Nivel</w:t>
      </w:r>
      <w:r w:rsidR="00BB367A" w:rsidRPr="00F379A3">
        <w:rPr>
          <w:lang w:val="es-ES_tradnl"/>
        </w:rPr>
        <w:t>es</w:t>
      </w:r>
      <w:r w:rsidRPr="00F379A3">
        <w:rPr>
          <w:lang w:val="es-ES_tradnl"/>
        </w:rPr>
        <w:t xml:space="preserve"> de preparación, </w:t>
      </w:r>
      <w:r w:rsidR="00BB367A" w:rsidRPr="00F379A3">
        <w:rPr>
          <w:lang w:val="es-ES_tradnl"/>
        </w:rPr>
        <w:t>compromiso</w:t>
      </w:r>
      <w:r w:rsidRPr="00F379A3">
        <w:rPr>
          <w:lang w:val="es-ES_tradnl"/>
        </w:rPr>
        <w:t xml:space="preserve"> de capacidades y recursos del operador designado para llevar a cabo la implementación del proyecto conforme a las directrices sobre el tiempo de despliegue del proyecto.</w:t>
      </w:r>
    </w:p>
    <w:p w14:paraId="46206889"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Disponibilidad de los recursos en materia de servicios financieros digitales necesarios en el operador designado para crear una interfaz con los socios de servicios financieros digitales locales a fin de implementar el proyecto.</w:t>
      </w:r>
    </w:p>
    <w:p w14:paraId="645729D5"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Objetivos de proyecto específicos para desplegar las innovaciones en materia de servicios financieros digitales con el fin de mejorar la tecnología y diversificar las ofertas de productos, los modelos operativos y los canales de distribución de servicios financieros digitales para prestar mejor servicio a la clientela postal.</w:t>
      </w:r>
    </w:p>
    <w:p w14:paraId="7EECB6F4"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Compromisos claramente definidos sobre la participación, adquisición y activación del segmento o de los segmentos de clientela objetivo para los productos y soluciones de servicios financieros digitales.</w:t>
      </w:r>
    </w:p>
    <w:p w14:paraId="5A33A207" w14:textId="77777777" w:rsidR="00B66A9C" w:rsidRPr="00F379A3" w:rsidRDefault="00B66A9C" w:rsidP="00F379A3">
      <w:pPr>
        <w:spacing w:line="240" w:lineRule="exact"/>
        <w:rPr>
          <w:rFonts w:cs="Arial"/>
          <w:lang w:val="es-ES_tradnl"/>
        </w:rPr>
      </w:pPr>
    </w:p>
    <w:p w14:paraId="09DBDC42" w14:textId="77777777" w:rsidR="00B66A9C" w:rsidRPr="00F379A3" w:rsidRDefault="00B66A9C" w:rsidP="00F379A3">
      <w:pPr>
        <w:pageBreakBefore/>
        <w:spacing w:line="240" w:lineRule="exact"/>
        <w:rPr>
          <w:rFonts w:cs="Arial"/>
          <w:i/>
          <w:iCs/>
          <w:lang w:val="es-ES_tradnl"/>
        </w:rPr>
      </w:pPr>
      <w:r w:rsidRPr="00F379A3">
        <w:rPr>
          <w:i/>
          <w:lang w:val="es-ES_tradnl"/>
        </w:rPr>
        <w:lastRenderedPageBreak/>
        <w:t>Evaluación de las repercusiones del proyecto</w:t>
      </w:r>
    </w:p>
    <w:p w14:paraId="529D912A" w14:textId="77777777" w:rsidR="00B66A9C" w:rsidRPr="00F379A3" w:rsidRDefault="00B66A9C" w:rsidP="00F379A3">
      <w:pPr>
        <w:spacing w:line="240" w:lineRule="exact"/>
        <w:rPr>
          <w:rFonts w:cs="Arial"/>
          <w:lang w:val="es-ES_tradnl"/>
        </w:rPr>
      </w:pPr>
    </w:p>
    <w:p w14:paraId="01D6D326" w14:textId="77777777" w:rsidR="00B66A9C" w:rsidRPr="00F379A3" w:rsidRDefault="00B66A9C" w:rsidP="00F379A3">
      <w:pPr>
        <w:spacing w:line="240" w:lineRule="exact"/>
        <w:rPr>
          <w:rFonts w:cs="Arial"/>
          <w:lang w:val="es-ES_tradnl"/>
        </w:rPr>
      </w:pPr>
      <w:r w:rsidRPr="00F379A3">
        <w:rPr>
          <w:lang w:val="es-ES_tradnl"/>
        </w:rPr>
        <w:t>Las posibles repercusiones del proyecto en la inclusión financiera se evaluarán por medio de evaluaciones cuantitativas y cualitativas de los resultados del proyecto y podrán incluir los principales indicadores de desempeño siguientes:</w:t>
      </w:r>
    </w:p>
    <w:p w14:paraId="296F18F2" w14:textId="0BE1AC0B" w:rsidR="00B66A9C" w:rsidRPr="00F379A3" w:rsidRDefault="00B66A9C" w:rsidP="00F379A3">
      <w:pPr>
        <w:pStyle w:val="1Premierretrait"/>
        <w:numPr>
          <w:ilvl w:val="0"/>
          <w:numId w:val="13"/>
        </w:numPr>
        <w:spacing w:line="240" w:lineRule="exact"/>
        <w:rPr>
          <w:lang w:val="es-ES_tradnl"/>
        </w:rPr>
      </w:pPr>
      <w:r w:rsidRPr="00F379A3">
        <w:rPr>
          <w:lang w:val="es-ES_tradnl"/>
        </w:rPr>
        <w:t xml:space="preserve">Suministro de soluciones de servicios financieros digitales pertinentes para los segmentos de clientela </w:t>
      </w:r>
      <w:r w:rsidR="00865C21" w:rsidRPr="00F379A3">
        <w:rPr>
          <w:lang w:val="es-ES_tradnl"/>
        </w:rPr>
        <w:t>postal a</w:t>
      </w:r>
      <w:r w:rsidRPr="00F379A3">
        <w:rPr>
          <w:lang w:val="es-ES_tradnl"/>
        </w:rPr>
        <w:t xml:space="preserve"> los que va dirigido.</w:t>
      </w:r>
    </w:p>
    <w:p w14:paraId="261CC1FA" w14:textId="6B91D1CC" w:rsidR="00B66A9C" w:rsidRPr="00F379A3" w:rsidRDefault="00B66A9C" w:rsidP="00F379A3">
      <w:pPr>
        <w:pStyle w:val="1Premierretrait"/>
        <w:numPr>
          <w:ilvl w:val="0"/>
          <w:numId w:val="13"/>
        </w:numPr>
        <w:spacing w:line="240" w:lineRule="exact"/>
        <w:rPr>
          <w:lang w:val="es-ES_tradnl"/>
        </w:rPr>
      </w:pPr>
      <w:r w:rsidRPr="00F379A3">
        <w:rPr>
          <w:lang w:val="es-ES_tradnl"/>
        </w:rPr>
        <w:t>Recomendaciones sobre planes de despliegue sostenibles que permitan a los operadores designados diversificar sus productos y soluciones de servicios financieros digitales, así como generar ingresos postales sostenibles y evolutivos para prestar mejor servicio a la clientela y apoyar los objetivos nacionales en materia de inclusión financiera. Estas soluciones serán desplegadas por los operadores designados conforme a los procedimientos nacionales de contratación aplicables.</w:t>
      </w:r>
    </w:p>
    <w:p w14:paraId="384A57EE" w14:textId="760840DC" w:rsidR="00B66A9C" w:rsidRPr="00F379A3" w:rsidRDefault="00B66A9C" w:rsidP="00F379A3">
      <w:pPr>
        <w:pStyle w:val="1Premierretrait"/>
        <w:numPr>
          <w:ilvl w:val="0"/>
          <w:numId w:val="13"/>
        </w:numPr>
        <w:spacing w:line="240" w:lineRule="exact"/>
        <w:rPr>
          <w:lang w:val="es-ES_tradnl"/>
        </w:rPr>
      </w:pPr>
      <w:r w:rsidRPr="00F379A3">
        <w:rPr>
          <w:lang w:val="es-ES_tradnl"/>
        </w:rPr>
        <w:t xml:space="preserve">Establecimiento de una metodología de seguimiento del número de clientes y </w:t>
      </w:r>
      <w:r w:rsidR="006A3ACA" w:rsidRPr="00F379A3">
        <w:rPr>
          <w:lang w:val="es-ES_tradnl"/>
        </w:rPr>
        <w:t>de la</w:t>
      </w:r>
      <w:r w:rsidRPr="00F379A3">
        <w:rPr>
          <w:lang w:val="es-ES_tradnl"/>
        </w:rPr>
        <w:t xml:space="preserve"> utilización.</w:t>
      </w:r>
    </w:p>
    <w:p w14:paraId="171C2393" w14:textId="50082D56" w:rsidR="00B66A9C" w:rsidRPr="00F379A3" w:rsidRDefault="00B66A9C" w:rsidP="00F379A3">
      <w:pPr>
        <w:pStyle w:val="1Premierretrait"/>
        <w:numPr>
          <w:ilvl w:val="0"/>
          <w:numId w:val="13"/>
        </w:numPr>
        <w:spacing w:line="240" w:lineRule="exact"/>
        <w:rPr>
          <w:lang w:val="es-ES_tradnl"/>
        </w:rPr>
      </w:pPr>
      <w:r w:rsidRPr="00F379A3">
        <w:rPr>
          <w:lang w:val="es-ES_tradnl"/>
        </w:rPr>
        <w:t xml:space="preserve">Prueba de una contribución a los objetivos nacionales en materia de inclusión financiera y </w:t>
      </w:r>
      <w:r w:rsidR="00585B9F" w:rsidRPr="00F379A3">
        <w:rPr>
          <w:lang w:val="es-ES_tradnl"/>
        </w:rPr>
        <w:t xml:space="preserve">de </w:t>
      </w:r>
      <w:r w:rsidRPr="00F379A3">
        <w:rPr>
          <w:lang w:val="es-ES_tradnl"/>
        </w:rPr>
        <w:t>aumento de la eficacia.</w:t>
      </w:r>
    </w:p>
    <w:p w14:paraId="2D8D7746" w14:textId="77777777" w:rsidR="00B66A9C" w:rsidRPr="00F379A3" w:rsidRDefault="00B66A9C" w:rsidP="00F379A3">
      <w:pPr>
        <w:pStyle w:val="1Premierretrait"/>
        <w:numPr>
          <w:ilvl w:val="0"/>
          <w:numId w:val="13"/>
        </w:numPr>
        <w:spacing w:line="240" w:lineRule="exact"/>
        <w:rPr>
          <w:lang w:val="es-ES_tradnl"/>
        </w:rPr>
      </w:pPr>
      <w:r w:rsidRPr="00F379A3">
        <w:rPr>
          <w:lang w:val="es-ES_tradnl"/>
        </w:rPr>
        <w:t>Posibilidad de generación de nuevos ingresos y de mejoramiento de los procesos para la entidad participante.</w:t>
      </w:r>
    </w:p>
    <w:p w14:paraId="27258D1A" w14:textId="77777777" w:rsidR="00B66A9C" w:rsidRPr="00F379A3" w:rsidRDefault="00B66A9C" w:rsidP="00F379A3">
      <w:pPr>
        <w:widowControl w:val="0"/>
        <w:spacing w:line="240" w:lineRule="exact"/>
        <w:rPr>
          <w:rFonts w:cs="Arial"/>
          <w:lang w:val="es-ES_tradnl"/>
        </w:rPr>
      </w:pPr>
    </w:p>
    <w:p w14:paraId="66A2DBA9" w14:textId="77777777" w:rsidR="00B66A9C" w:rsidRPr="00F379A3" w:rsidRDefault="00B66A9C" w:rsidP="00F379A3">
      <w:pPr>
        <w:widowControl w:val="0"/>
        <w:spacing w:line="240" w:lineRule="exact"/>
        <w:rPr>
          <w:rFonts w:cs="Arial"/>
          <w:lang w:val="es-ES_tradnl"/>
        </w:rPr>
      </w:pPr>
    </w:p>
    <w:p w14:paraId="10D1CB99" w14:textId="77777777" w:rsidR="00B66A9C" w:rsidRPr="00F379A3" w:rsidRDefault="00B66A9C" w:rsidP="00F379A3">
      <w:pPr>
        <w:pStyle w:val="Ttulo1"/>
        <w:spacing w:line="240" w:lineRule="exact"/>
        <w:rPr>
          <w:rFonts w:cs="Arial"/>
          <w:lang w:val="es-ES_tradnl"/>
        </w:rPr>
      </w:pPr>
      <w:bookmarkStart w:id="18" w:name="_Toc203465849"/>
      <w:r w:rsidRPr="00F379A3">
        <w:rPr>
          <w:lang w:val="es-ES_tradnl"/>
        </w:rPr>
        <w:t>4.</w:t>
      </w:r>
      <w:r w:rsidRPr="00F379A3">
        <w:rPr>
          <w:lang w:val="es-ES_tradnl"/>
        </w:rPr>
        <w:tab/>
        <w:t>Estimación de los costos de implementación del proyecto</w:t>
      </w:r>
      <w:bookmarkEnd w:id="18"/>
    </w:p>
    <w:p w14:paraId="5B7C60F5" w14:textId="77777777" w:rsidR="00B66A9C" w:rsidRPr="00F379A3" w:rsidRDefault="00B66A9C" w:rsidP="00F379A3">
      <w:pPr>
        <w:widowControl w:val="0"/>
        <w:spacing w:line="240" w:lineRule="exact"/>
        <w:rPr>
          <w:rFonts w:cs="Arial"/>
          <w:lang w:val="es-ES_tradnl"/>
        </w:rPr>
      </w:pPr>
    </w:p>
    <w:p w14:paraId="4DA06F92" w14:textId="77777777" w:rsidR="00B66A9C" w:rsidRPr="00F379A3" w:rsidRDefault="00B66A9C" w:rsidP="00F379A3">
      <w:pPr>
        <w:widowControl w:val="0"/>
        <w:spacing w:line="240" w:lineRule="exact"/>
        <w:rPr>
          <w:rFonts w:cs="Arial"/>
          <w:lang w:val="es-ES_tradnl"/>
        </w:rPr>
      </w:pPr>
      <w:r w:rsidRPr="00F379A3">
        <w:rPr>
          <w:lang w:val="es-ES_tradnl"/>
        </w:rPr>
        <w:t>No habrá ninguna asignación financiera directa de la UPU a los operadores designados en el marco de su participación en este programa.</w:t>
      </w:r>
    </w:p>
    <w:p w14:paraId="1EE50257" w14:textId="77777777" w:rsidR="00B66A9C" w:rsidRPr="00F379A3" w:rsidRDefault="00B66A9C" w:rsidP="00F379A3">
      <w:pPr>
        <w:widowControl w:val="0"/>
        <w:spacing w:line="240" w:lineRule="exact"/>
        <w:rPr>
          <w:rFonts w:cs="Arial"/>
          <w:lang w:val="es-ES_tradnl"/>
        </w:rPr>
      </w:pPr>
    </w:p>
    <w:p w14:paraId="52979653" w14:textId="4419A75A" w:rsidR="00B66A9C" w:rsidRPr="00F379A3" w:rsidRDefault="00B66A9C" w:rsidP="00F379A3">
      <w:pPr>
        <w:widowControl w:val="0"/>
        <w:spacing w:line="240" w:lineRule="exact"/>
        <w:rPr>
          <w:rFonts w:cs="Arial"/>
          <w:lang w:val="es-ES_tradnl"/>
        </w:rPr>
      </w:pPr>
      <w:r w:rsidRPr="00F379A3">
        <w:rPr>
          <w:lang w:val="es-ES_tradnl"/>
        </w:rPr>
        <w:t xml:space="preserve">Los costos previstos asociados a las evaluaciones completas de los proyectos </w:t>
      </w:r>
      <w:proofErr w:type="spellStart"/>
      <w:r w:rsidRPr="00F379A3">
        <w:rPr>
          <w:lang w:val="es-ES_tradnl"/>
        </w:rPr>
        <w:t>FITAF</w:t>
      </w:r>
      <w:proofErr w:type="spellEnd"/>
      <w:r w:rsidRPr="00F379A3">
        <w:rPr>
          <w:lang w:val="es-ES_tradnl"/>
        </w:rPr>
        <w:t xml:space="preserve"> 2 de extremo a extremo, a las validaciones de preparación técnica y </w:t>
      </w:r>
      <w:r w:rsidR="00585B9F" w:rsidRPr="00F379A3">
        <w:rPr>
          <w:lang w:val="es-ES_tradnl"/>
        </w:rPr>
        <w:t xml:space="preserve">a la elaboración </w:t>
      </w:r>
      <w:r w:rsidRPr="00F379A3">
        <w:rPr>
          <w:lang w:val="es-ES_tradnl"/>
        </w:rPr>
        <w:t>de los planes finales de despliegue y expansión en el mercado se estiman en hasta 150 000 USD por proyecto individual. Estos costos serán cubiertos por el programa.</w:t>
      </w:r>
    </w:p>
    <w:p w14:paraId="1C6EDC60" w14:textId="77777777" w:rsidR="00B66A9C" w:rsidRPr="00F379A3" w:rsidRDefault="00B66A9C" w:rsidP="00F379A3">
      <w:pPr>
        <w:widowControl w:val="0"/>
        <w:spacing w:line="240" w:lineRule="exact"/>
        <w:rPr>
          <w:rFonts w:cs="Arial"/>
          <w:lang w:val="es-ES_tradnl"/>
        </w:rPr>
      </w:pPr>
    </w:p>
    <w:p w14:paraId="640909C4" w14:textId="49AB3A4A" w:rsidR="00B66A9C" w:rsidRPr="00F379A3" w:rsidRDefault="00B66A9C" w:rsidP="00F379A3">
      <w:pPr>
        <w:widowControl w:val="0"/>
        <w:spacing w:line="240" w:lineRule="exact"/>
        <w:rPr>
          <w:lang w:val="es-ES_tradnl"/>
        </w:rPr>
      </w:pPr>
      <w:r w:rsidRPr="00F379A3">
        <w:rPr>
          <w:lang w:val="es-ES_tradnl"/>
        </w:rPr>
        <w:t>El período de implementación del proyecto no debe superar los 12 meses.</w:t>
      </w:r>
    </w:p>
    <w:p w14:paraId="093B93AF" w14:textId="77777777" w:rsidR="009459A0" w:rsidRPr="00F379A3" w:rsidRDefault="009459A0" w:rsidP="00F379A3">
      <w:pPr>
        <w:widowControl w:val="0"/>
        <w:spacing w:line="240" w:lineRule="exact"/>
        <w:rPr>
          <w:rFonts w:cs="Arial"/>
          <w:lang w:val="es-ES_tradnl"/>
        </w:rPr>
      </w:pPr>
    </w:p>
    <w:p w14:paraId="49C89B90" w14:textId="77777777" w:rsidR="00B66A9C" w:rsidRPr="00F379A3" w:rsidRDefault="00B66A9C" w:rsidP="00F379A3">
      <w:pPr>
        <w:widowControl w:val="0"/>
        <w:spacing w:line="240" w:lineRule="exact"/>
        <w:rPr>
          <w:rFonts w:cs="Arial"/>
          <w:i/>
          <w:iCs/>
          <w:lang w:val="es-ES_tradnl"/>
        </w:rPr>
      </w:pPr>
      <w:r w:rsidRPr="00F379A3">
        <w:rPr>
          <w:i/>
          <w:lang w:val="es-ES_tradnl"/>
        </w:rPr>
        <w:t>Cofinanciación</w:t>
      </w:r>
    </w:p>
    <w:p w14:paraId="3004CAB7" w14:textId="77777777" w:rsidR="00B66A9C" w:rsidRPr="00F379A3" w:rsidRDefault="00B66A9C" w:rsidP="00F379A3">
      <w:pPr>
        <w:widowControl w:val="0"/>
        <w:spacing w:line="240" w:lineRule="exact"/>
        <w:rPr>
          <w:rFonts w:cs="Arial"/>
          <w:lang w:val="es-ES_tradnl"/>
        </w:rPr>
      </w:pPr>
    </w:p>
    <w:p w14:paraId="42E19B6F" w14:textId="77777777" w:rsidR="00B66A9C" w:rsidRPr="00F379A3" w:rsidRDefault="00B66A9C" w:rsidP="00F379A3">
      <w:pPr>
        <w:widowControl w:val="0"/>
        <w:spacing w:line="240" w:lineRule="exact"/>
        <w:rPr>
          <w:rFonts w:cs="Arial"/>
          <w:lang w:val="es-ES_tradnl"/>
        </w:rPr>
      </w:pPr>
      <w:r w:rsidRPr="00F379A3">
        <w:rPr>
          <w:lang w:val="es-ES_tradnl"/>
        </w:rPr>
        <w:t xml:space="preserve">Los beneficiarios del proyecto pueden proponer voluntariamente contribuciones financieras en función de sus propias necesidades para seguir apoyando su proyecto </w:t>
      </w:r>
      <w:proofErr w:type="spellStart"/>
      <w:r w:rsidRPr="00F379A3">
        <w:rPr>
          <w:lang w:val="es-ES_tradnl"/>
        </w:rPr>
        <w:t>FITAF</w:t>
      </w:r>
      <w:proofErr w:type="spellEnd"/>
      <w:r w:rsidRPr="00F379A3">
        <w:rPr>
          <w:lang w:val="es-ES_tradnl"/>
        </w:rPr>
        <w:t xml:space="preserve"> 2.</w:t>
      </w:r>
    </w:p>
    <w:p w14:paraId="6414B9B4" w14:textId="77777777" w:rsidR="00B66A9C" w:rsidRPr="00F379A3" w:rsidRDefault="00B66A9C" w:rsidP="00F379A3">
      <w:pPr>
        <w:widowControl w:val="0"/>
        <w:spacing w:line="240" w:lineRule="exact"/>
        <w:rPr>
          <w:rFonts w:cs="Arial"/>
          <w:lang w:val="es-ES_tradnl"/>
        </w:rPr>
      </w:pPr>
    </w:p>
    <w:p w14:paraId="0A251A11" w14:textId="77777777" w:rsidR="00B66A9C" w:rsidRPr="00F379A3" w:rsidRDefault="00B66A9C" w:rsidP="00F379A3">
      <w:pPr>
        <w:widowControl w:val="0"/>
        <w:spacing w:line="240" w:lineRule="exact"/>
        <w:rPr>
          <w:rFonts w:cs="Arial"/>
          <w:lang w:val="es-ES_tradnl"/>
        </w:rPr>
      </w:pPr>
      <w:r w:rsidRPr="00F379A3">
        <w:rPr>
          <w:lang w:val="es-ES_tradnl"/>
        </w:rPr>
        <w:t xml:space="preserve">Tales contribuciones financieras no son una exigencia obligatoria para participar en el programa </w:t>
      </w:r>
      <w:proofErr w:type="spellStart"/>
      <w:r w:rsidRPr="00F379A3">
        <w:rPr>
          <w:lang w:val="es-ES_tradnl"/>
        </w:rPr>
        <w:t>FITAF</w:t>
      </w:r>
      <w:proofErr w:type="spellEnd"/>
      <w:r w:rsidRPr="00F379A3">
        <w:rPr>
          <w:lang w:val="es-ES_tradnl"/>
        </w:rPr>
        <w:t xml:space="preserve"> 2.</w:t>
      </w:r>
    </w:p>
    <w:p w14:paraId="4C65B253" w14:textId="77777777" w:rsidR="00B66A9C" w:rsidRPr="00F379A3" w:rsidRDefault="00B66A9C" w:rsidP="00F379A3">
      <w:pPr>
        <w:widowControl w:val="0"/>
        <w:spacing w:line="240" w:lineRule="exact"/>
        <w:rPr>
          <w:rFonts w:cs="Arial"/>
          <w:lang w:val="es-ES_tradnl"/>
        </w:rPr>
      </w:pPr>
    </w:p>
    <w:p w14:paraId="7477042C" w14:textId="77777777" w:rsidR="00B66A9C" w:rsidRPr="00F379A3" w:rsidRDefault="00B66A9C" w:rsidP="00F379A3">
      <w:pPr>
        <w:widowControl w:val="0"/>
        <w:spacing w:line="240" w:lineRule="exact"/>
        <w:rPr>
          <w:rFonts w:cs="Arial"/>
          <w:lang w:val="es-ES_tradnl"/>
        </w:rPr>
      </w:pPr>
    </w:p>
    <w:p w14:paraId="14E80D04" w14:textId="77777777" w:rsidR="00B66A9C" w:rsidRPr="00F379A3" w:rsidRDefault="00B66A9C" w:rsidP="00F379A3">
      <w:pPr>
        <w:pStyle w:val="Ttulo1"/>
        <w:spacing w:line="240" w:lineRule="exact"/>
        <w:rPr>
          <w:rFonts w:cs="Arial"/>
          <w:lang w:val="es-ES_tradnl"/>
        </w:rPr>
      </w:pPr>
      <w:bookmarkStart w:id="19" w:name="_Toc203465850"/>
      <w:r w:rsidRPr="00F379A3">
        <w:rPr>
          <w:lang w:val="es-ES_tradnl"/>
        </w:rPr>
        <w:t>5.</w:t>
      </w:r>
      <w:r w:rsidRPr="00F379A3">
        <w:rPr>
          <w:lang w:val="es-ES_tradnl"/>
        </w:rPr>
        <w:tab/>
        <w:t>Procedimiento de solicitud</w:t>
      </w:r>
      <w:bookmarkEnd w:id="19"/>
    </w:p>
    <w:p w14:paraId="2547FDD7" w14:textId="77777777" w:rsidR="00B66A9C" w:rsidRPr="00F379A3" w:rsidRDefault="00B66A9C" w:rsidP="00F379A3">
      <w:pPr>
        <w:widowControl w:val="0"/>
        <w:spacing w:line="240" w:lineRule="exact"/>
        <w:rPr>
          <w:rFonts w:cs="Arial"/>
          <w:lang w:val="es-ES_tradnl"/>
        </w:rPr>
      </w:pP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B66A9C" w:rsidRPr="00F379A3" w14:paraId="7C2F7359" w14:textId="77777777" w:rsidTr="00E0795C">
        <w:tc>
          <w:tcPr>
            <w:tcW w:w="426" w:type="dxa"/>
          </w:tcPr>
          <w:p w14:paraId="55E1DB19" w14:textId="77777777" w:rsidR="00B66A9C" w:rsidRPr="00F379A3" w:rsidRDefault="00B66A9C" w:rsidP="00F379A3">
            <w:pPr>
              <w:pStyle w:val="Barredanslamarge"/>
              <w:spacing w:line="240" w:lineRule="exact"/>
              <w:rPr>
                <w:lang w:val="es-ES_tradnl"/>
              </w:rPr>
            </w:pPr>
            <w:r w:rsidRPr="00F379A3">
              <w:rPr>
                <w:lang w:val="es-ES_tradnl"/>
              </w:rPr>
              <w:t>/</w:t>
            </w:r>
          </w:p>
        </w:tc>
        <w:tc>
          <w:tcPr>
            <w:tcW w:w="9639" w:type="dxa"/>
          </w:tcPr>
          <w:p w14:paraId="549F3E8C" w14:textId="77777777" w:rsidR="00B66A9C" w:rsidRPr="00F379A3" w:rsidRDefault="00B66A9C" w:rsidP="00F379A3">
            <w:pPr>
              <w:pStyle w:val="Barredanslamarge"/>
              <w:spacing w:line="240" w:lineRule="exact"/>
              <w:rPr>
                <w:lang w:val="es-ES_tradnl"/>
              </w:rPr>
            </w:pPr>
            <w:r w:rsidRPr="00F379A3">
              <w:rPr>
                <w:lang w:val="es-ES_tradnl"/>
              </w:rPr>
              <w:t>Todas las propuestas de proyecto deben seguir el modelo que se presenta en el anexo 1.</w:t>
            </w:r>
          </w:p>
        </w:tc>
      </w:tr>
    </w:tbl>
    <w:p w14:paraId="43690C27" w14:textId="77777777" w:rsidR="00B66A9C" w:rsidRPr="00F379A3" w:rsidRDefault="00B66A9C" w:rsidP="00F379A3">
      <w:pPr>
        <w:widowControl w:val="0"/>
        <w:spacing w:line="240" w:lineRule="exact"/>
        <w:rPr>
          <w:rFonts w:cs="Arial"/>
          <w:lang w:val="es-ES_tradnl"/>
        </w:rPr>
      </w:pPr>
    </w:p>
    <w:p w14:paraId="30040085" w14:textId="6E606ED5" w:rsidR="00B66A9C" w:rsidRPr="00F379A3" w:rsidRDefault="00B66A9C" w:rsidP="00F379A3">
      <w:pPr>
        <w:widowControl w:val="0"/>
        <w:spacing w:line="240" w:lineRule="exact"/>
        <w:rPr>
          <w:rFonts w:cs="Arial"/>
          <w:b/>
          <w:bCs/>
          <w:lang w:val="es-ES_tradnl"/>
        </w:rPr>
      </w:pPr>
      <w:r w:rsidRPr="00F379A3">
        <w:rPr>
          <w:lang w:val="es-ES_tradnl"/>
        </w:rPr>
        <w:t xml:space="preserve">El modelo también puede descargarse de la página </w:t>
      </w:r>
      <w:hyperlink r:id="rId11" w:history="1">
        <w:r w:rsidRPr="00F379A3">
          <w:rPr>
            <w:rStyle w:val="Hipervnculo"/>
            <w:b w:val="0"/>
            <w:lang w:val="es-ES_tradnl"/>
          </w:rPr>
          <w:t>www.upu.int/en/universal-postal-union/activities/financial-services#financial-inclusion</w:t>
        </w:r>
      </w:hyperlink>
      <w:r w:rsidRPr="003575D8">
        <w:rPr>
          <w:bCs/>
          <w:lang w:val="es-ES_tradnl"/>
        </w:rPr>
        <w:t>.</w:t>
      </w:r>
    </w:p>
    <w:p w14:paraId="2494CBAE" w14:textId="77777777" w:rsidR="00B66A9C" w:rsidRPr="00F379A3" w:rsidRDefault="00B66A9C" w:rsidP="00F379A3">
      <w:pPr>
        <w:widowControl w:val="0"/>
        <w:spacing w:line="240" w:lineRule="exact"/>
        <w:rPr>
          <w:rFonts w:cs="Arial"/>
          <w:lang w:val="es-ES_tradnl"/>
        </w:rPr>
      </w:pPr>
    </w:p>
    <w:p w14:paraId="7B56921F" w14:textId="0F9F6132" w:rsidR="00B66A9C" w:rsidRPr="00F379A3" w:rsidRDefault="00B66A9C" w:rsidP="00F379A3">
      <w:pPr>
        <w:widowControl w:val="0"/>
        <w:spacing w:line="240" w:lineRule="exact"/>
        <w:rPr>
          <w:rFonts w:cs="Arial"/>
          <w:lang w:val="es-ES_tradnl"/>
        </w:rPr>
      </w:pPr>
      <w:r w:rsidRPr="00F379A3">
        <w:rPr>
          <w:lang w:val="es-ES_tradnl"/>
        </w:rPr>
        <w:t xml:space="preserve">También puede solicitarse por correo electrónico a la dirección </w:t>
      </w:r>
      <w:hyperlink r:id="rId12" w:history="1">
        <w:r w:rsidRPr="00F379A3">
          <w:rPr>
            <w:rStyle w:val="Hipervnculo"/>
            <w:b w:val="0"/>
            <w:bCs/>
            <w:lang w:val="es-ES_tradnl"/>
          </w:rPr>
          <w:t>FITAF@upu.int</w:t>
        </w:r>
      </w:hyperlink>
      <w:r w:rsidRPr="003575D8">
        <w:rPr>
          <w:lang w:val="es-ES_tradnl"/>
        </w:rPr>
        <w:t>.</w:t>
      </w:r>
    </w:p>
    <w:p w14:paraId="4330AD24" w14:textId="77777777" w:rsidR="00B66A9C" w:rsidRPr="00F379A3" w:rsidRDefault="00B66A9C" w:rsidP="00F379A3">
      <w:pPr>
        <w:widowControl w:val="0"/>
        <w:spacing w:line="240" w:lineRule="exact"/>
        <w:rPr>
          <w:rFonts w:cs="Arial"/>
          <w:lang w:val="es-ES_tradnl"/>
        </w:rPr>
      </w:pPr>
    </w:p>
    <w:p w14:paraId="3D6F1DE9" w14:textId="4C393D41" w:rsidR="00B66A9C" w:rsidRPr="00F379A3" w:rsidRDefault="00B66A9C" w:rsidP="00F379A3">
      <w:pPr>
        <w:widowControl w:val="0"/>
        <w:spacing w:line="240" w:lineRule="exact"/>
        <w:rPr>
          <w:rFonts w:cs="Arial"/>
          <w:lang w:val="es-ES_tradnl"/>
        </w:rPr>
      </w:pPr>
      <w:r w:rsidRPr="00F379A3">
        <w:rPr>
          <w:lang w:val="es-ES_tradnl"/>
        </w:rPr>
        <w:t>Las solicitudes deben incluir los siguientes documentos</w:t>
      </w:r>
      <w:r w:rsidR="00EC35B3" w:rsidRPr="00F379A3">
        <w:rPr>
          <w:lang w:val="es-ES_tradnl"/>
        </w:rPr>
        <w:t>,</w:t>
      </w:r>
      <w:r w:rsidRPr="00F379A3">
        <w:rPr>
          <w:lang w:val="es-ES_tradnl"/>
        </w:rPr>
        <w:t xml:space="preserve"> en formato PDF:</w:t>
      </w: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B66A9C" w:rsidRPr="00F379A3" w14:paraId="4DBDDFD7" w14:textId="77777777" w:rsidTr="00E0795C">
        <w:tc>
          <w:tcPr>
            <w:tcW w:w="426" w:type="dxa"/>
          </w:tcPr>
          <w:p w14:paraId="6ADB59B2" w14:textId="77777777" w:rsidR="00B66A9C" w:rsidRPr="00F379A3" w:rsidRDefault="00B66A9C" w:rsidP="00F379A3">
            <w:pPr>
              <w:pStyle w:val="Barredanslamarge"/>
              <w:spacing w:before="120" w:line="240" w:lineRule="exact"/>
              <w:rPr>
                <w:lang w:val="es-ES_tradnl"/>
              </w:rPr>
            </w:pPr>
          </w:p>
          <w:p w14:paraId="7C0CEAA3" w14:textId="77777777" w:rsidR="00B66A9C" w:rsidRPr="00F379A3" w:rsidRDefault="00B66A9C" w:rsidP="00F379A3">
            <w:pPr>
              <w:pStyle w:val="Barredanslamarge"/>
              <w:spacing w:before="120" w:line="240" w:lineRule="exact"/>
              <w:rPr>
                <w:lang w:val="es-ES_tradnl"/>
              </w:rPr>
            </w:pPr>
            <w:r w:rsidRPr="00F379A3">
              <w:rPr>
                <w:lang w:val="es-ES_tradnl"/>
              </w:rPr>
              <w:t>/</w:t>
            </w:r>
          </w:p>
        </w:tc>
        <w:tc>
          <w:tcPr>
            <w:tcW w:w="9639" w:type="dxa"/>
          </w:tcPr>
          <w:p w14:paraId="16925B7D" w14:textId="77777777" w:rsidR="00B66A9C" w:rsidRPr="00F379A3" w:rsidRDefault="00B66A9C" w:rsidP="00F379A3">
            <w:pPr>
              <w:pStyle w:val="1Premierretrait"/>
              <w:numPr>
                <w:ilvl w:val="0"/>
                <w:numId w:val="13"/>
              </w:numPr>
              <w:spacing w:line="240" w:lineRule="exact"/>
              <w:rPr>
                <w:rFonts w:cs="Arial"/>
                <w:lang w:val="es-ES_tradnl"/>
              </w:rPr>
            </w:pPr>
            <w:r w:rsidRPr="00F379A3">
              <w:rPr>
                <w:lang w:val="es-ES_tradnl"/>
              </w:rPr>
              <w:t>Formulario de propuesta de proyecto (anexo 1).</w:t>
            </w:r>
          </w:p>
          <w:p w14:paraId="07CC9006" w14:textId="7B72DD00" w:rsidR="00B66A9C" w:rsidRPr="00F379A3" w:rsidRDefault="00B66A9C" w:rsidP="00F379A3">
            <w:pPr>
              <w:pStyle w:val="1Premierretrait"/>
              <w:numPr>
                <w:ilvl w:val="0"/>
                <w:numId w:val="13"/>
              </w:numPr>
              <w:spacing w:line="240" w:lineRule="exact"/>
              <w:rPr>
                <w:rFonts w:cs="Arial"/>
                <w:lang w:val="es-ES_tradnl"/>
              </w:rPr>
            </w:pPr>
            <w:r w:rsidRPr="00F379A3">
              <w:rPr>
                <w:lang w:val="es-ES_tradnl"/>
              </w:rPr>
              <w:t xml:space="preserve">Formulario de contribución </w:t>
            </w:r>
            <w:r w:rsidR="00865C21" w:rsidRPr="00F379A3">
              <w:rPr>
                <w:lang w:val="es-ES_tradnl"/>
              </w:rPr>
              <w:t>financiera (</w:t>
            </w:r>
            <w:r w:rsidRPr="00F379A3">
              <w:rPr>
                <w:lang w:val="es-ES_tradnl"/>
              </w:rPr>
              <w:t>anexo 2) (si corresponde – para utilizar únicamente si el operador designado brinda apoyo financiero para el proyecto).</w:t>
            </w:r>
          </w:p>
        </w:tc>
      </w:tr>
    </w:tbl>
    <w:p w14:paraId="084114A6" w14:textId="77777777" w:rsidR="00B66A9C" w:rsidRPr="00F379A3" w:rsidRDefault="00B66A9C" w:rsidP="00F379A3">
      <w:pPr>
        <w:widowControl w:val="0"/>
        <w:spacing w:line="240" w:lineRule="exact"/>
        <w:rPr>
          <w:rFonts w:cs="Arial"/>
          <w:lang w:val="es-ES_tradnl"/>
        </w:rPr>
      </w:pPr>
    </w:p>
    <w:bookmarkEnd w:id="7"/>
    <w:bookmarkEnd w:id="11"/>
    <w:bookmarkEnd w:id="12"/>
    <w:bookmarkEnd w:id="13"/>
    <w:bookmarkEnd w:id="14"/>
    <w:bookmarkEnd w:id="15"/>
    <w:p w14:paraId="43C1DA1A" w14:textId="77777777" w:rsidR="00B66A9C" w:rsidRPr="00F379A3" w:rsidRDefault="00B66A9C" w:rsidP="00F379A3">
      <w:pPr>
        <w:pageBreakBefore/>
        <w:widowControl w:val="0"/>
        <w:spacing w:line="240" w:lineRule="exact"/>
        <w:rPr>
          <w:rFonts w:cs="Arial"/>
          <w:lang w:val="es-ES_tradnl"/>
        </w:rPr>
      </w:pPr>
      <w:r w:rsidRPr="00F379A3">
        <w:rPr>
          <w:lang w:val="es-ES_tradnl"/>
        </w:rPr>
        <w:lastRenderedPageBreak/>
        <w:t>Las solicitudes deben presentarse en francés o inglés (las dos lenguas de trabajo de la Oficina Internacional de la UPU).</w:t>
      </w:r>
    </w:p>
    <w:p w14:paraId="7ED90151" w14:textId="77777777" w:rsidR="00B66A9C" w:rsidRPr="00F379A3" w:rsidRDefault="00B66A9C" w:rsidP="00F379A3">
      <w:pPr>
        <w:widowControl w:val="0"/>
        <w:spacing w:line="240" w:lineRule="exact"/>
        <w:rPr>
          <w:rFonts w:cs="Arial"/>
          <w:lang w:val="es-ES_tradnl"/>
        </w:rPr>
      </w:pPr>
    </w:p>
    <w:p w14:paraId="66147383" w14:textId="380A5542" w:rsidR="00B66A9C" w:rsidRPr="00F379A3" w:rsidRDefault="00B66A9C" w:rsidP="00F379A3">
      <w:pPr>
        <w:widowControl w:val="0"/>
        <w:spacing w:line="240" w:lineRule="exact"/>
        <w:rPr>
          <w:rFonts w:cs="Arial"/>
          <w:lang w:val="es-ES_tradnl"/>
        </w:rPr>
      </w:pPr>
      <w:r w:rsidRPr="00F379A3">
        <w:rPr>
          <w:lang w:val="es-ES_tradnl"/>
        </w:rPr>
        <w:t xml:space="preserve">Las solicitudes deben enviarse por vía electrónica a la dirección </w:t>
      </w:r>
      <w:hyperlink r:id="rId13" w:history="1">
        <w:r w:rsidRPr="00F379A3">
          <w:rPr>
            <w:rStyle w:val="Hipervnculo"/>
            <w:b w:val="0"/>
            <w:lang w:val="es-ES_tradnl"/>
          </w:rPr>
          <w:t>FITAF@upu.int</w:t>
        </w:r>
      </w:hyperlink>
      <w:r w:rsidRPr="00F379A3">
        <w:rPr>
          <w:lang w:val="es-ES_tradnl"/>
        </w:rPr>
        <w:t xml:space="preserve"> </w:t>
      </w:r>
      <w:r w:rsidRPr="00F379A3">
        <w:rPr>
          <w:b/>
          <w:bCs/>
          <w:lang w:val="es-ES_tradnl"/>
        </w:rPr>
        <w:t>antes del 3 de setiembre de 2025</w:t>
      </w:r>
      <w:r w:rsidRPr="00F379A3">
        <w:rPr>
          <w:lang w:val="es-ES_tradnl"/>
        </w:rPr>
        <w:t>.</w:t>
      </w:r>
    </w:p>
    <w:p w14:paraId="39A068CB" w14:textId="77777777" w:rsidR="00B66A9C" w:rsidRPr="00F379A3" w:rsidRDefault="00B66A9C" w:rsidP="00F379A3">
      <w:pPr>
        <w:widowControl w:val="0"/>
        <w:spacing w:line="240" w:lineRule="exact"/>
        <w:rPr>
          <w:rFonts w:cs="Arial"/>
          <w:lang w:val="es-ES_tradnl"/>
        </w:rPr>
      </w:pPr>
    </w:p>
    <w:p w14:paraId="59E1056B" w14:textId="77777777" w:rsidR="00B66A9C" w:rsidRPr="00F379A3" w:rsidRDefault="00B66A9C" w:rsidP="00F379A3">
      <w:pPr>
        <w:widowControl w:val="0"/>
        <w:spacing w:line="240" w:lineRule="exact"/>
        <w:rPr>
          <w:rFonts w:cs="Arial"/>
          <w:lang w:val="es-ES_tradnl"/>
        </w:rPr>
      </w:pPr>
      <w:r w:rsidRPr="00F379A3">
        <w:rPr>
          <w:lang w:val="es-ES_tradnl"/>
        </w:rPr>
        <w:t>Las solicitudes que no cumplan con las exigencias mencionadas no se tomarán en cuenta.</w:t>
      </w:r>
    </w:p>
    <w:p w14:paraId="2899B343" w14:textId="77777777" w:rsidR="00B66A9C" w:rsidRPr="00F379A3" w:rsidRDefault="00B66A9C" w:rsidP="00F379A3">
      <w:pPr>
        <w:widowControl w:val="0"/>
        <w:spacing w:line="240" w:lineRule="exact"/>
        <w:rPr>
          <w:rFonts w:cs="Arial"/>
          <w:lang w:val="es-ES_tradnl"/>
        </w:rPr>
      </w:pPr>
    </w:p>
    <w:p w14:paraId="0571A1EE" w14:textId="4827ACCE" w:rsidR="00282FAD" w:rsidRPr="00F379A3" w:rsidRDefault="00B66A9C" w:rsidP="00F379A3">
      <w:pPr>
        <w:pStyle w:val="Datesignature"/>
        <w:spacing w:line="240" w:lineRule="exact"/>
        <w:rPr>
          <w:b/>
          <w:bCs/>
          <w:noProof w:val="0"/>
          <w:lang w:val="es-ES_tradnl"/>
        </w:rPr>
      </w:pPr>
      <w:r w:rsidRPr="00F379A3">
        <w:rPr>
          <w:noProof w:val="0"/>
          <w:lang w:val="es-ES_tradnl"/>
        </w:rPr>
        <w:t xml:space="preserve">Contacto: </w:t>
      </w:r>
      <w:hyperlink r:id="rId14" w:history="1">
        <w:r w:rsidRPr="00F379A3">
          <w:rPr>
            <w:rStyle w:val="Hipervnculo"/>
            <w:b w:val="0"/>
            <w:noProof w:val="0"/>
            <w:lang w:val="es-ES_tradnl"/>
          </w:rPr>
          <w:t>FITAF@upu.int</w:t>
        </w:r>
      </w:hyperlink>
      <w:r w:rsidRPr="00AB41D2">
        <w:rPr>
          <w:bCs/>
          <w:noProof w:val="0"/>
          <w:lang w:val="es-ES_tradnl"/>
        </w:rPr>
        <w:t>.</w:t>
      </w:r>
    </w:p>
    <w:p w14:paraId="77BA3761" w14:textId="77777777" w:rsidR="00B66A9C" w:rsidRPr="00F379A3" w:rsidRDefault="00B66A9C" w:rsidP="00F379A3">
      <w:pPr>
        <w:pStyle w:val="Datesignature"/>
        <w:spacing w:line="240" w:lineRule="exact"/>
        <w:rPr>
          <w:noProof w:val="0"/>
          <w:lang w:val="es-ES_tradnl"/>
        </w:rPr>
      </w:pPr>
    </w:p>
    <w:p w14:paraId="0E7E5DCD" w14:textId="77777777" w:rsidR="00B66A9C" w:rsidRPr="00F379A3" w:rsidRDefault="00B66A9C" w:rsidP="00F379A3">
      <w:pPr>
        <w:pStyle w:val="Datesignature"/>
        <w:spacing w:line="240" w:lineRule="exact"/>
        <w:rPr>
          <w:noProof w:val="0"/>
          <w:lang w:val="es-ES_tradnl"/>
        </w:rPr>
      </w:pPr>
    </w:p>
    <w:sectPr w:rsidR="00B66A9C" w:rsidRPr="00F379A3" w:rsidSect="00E04D2B">
      <w:headerReference w:type="even" r:id="rId15"/>
      <w:headerReference w:type="default" r:id="rId16"/>
      <w:headerReference w:type="first" r:id="rId17"/>
      <w:footerReference w:type="first" r:id="rId18"/>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7032" w14:textId="77777777" w:rsidR="00C05B1E" w:rsidRDefault="00C05B1E">
      <w:pPr>
        <w:spacing w:after="120"/>
        <w:rPr>
          <w:sz w:val="18"/>
        </w:rPr>
      </w:pPr>
      <w:r>
        <w:rPr>
          <w:sz w:val="18"/>
        </w:rPr>
        <w:t>____________</w:t>
      </w:r>
    </w:p>
  </w:endnote>
  <w:endnote w:type="continuationSeparator" w:id="0">
    <w:p w14:paraId="27E4BCCE" w14:textId="77777777" w:rsidR="00C05B1E" w:rsidRDefault="00C0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45 Helvetica Light">
    <w:altName w:val="Courier New"/>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6D00" w14:textId="6001B053" w:rsidR="00282FAD" w:rsidRPr="00135C68" w:rsidRDefault="00B66A9C" w:rsidP="00282FAD">
    <w:pPr>
      <w:rPr>
        <w:sz w:val="18"/>
        <w:szCs w:val="18"/>
      </w:rPr>
    </w:pPr>
    <w:proofErr w:type="spellStart"/>
    <w:r>
      <w:rPr>
        <w:sz w:val="18"/>
      </w:rPr>
      <w:t>Idr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4350" w14:textId="77777777" w:rsidR="00C05B1E" w:rsidRDefault="00C05B1E" w:rsidP="009E7ADC">
      <w:pPr>
        <w:rPr>
          <w:sz w:val="18"/>
        </w:rPr>
      </w:pPr>
    </w:p>
  </w:footnote>
  <w:footnote w:type="continuationSeparator" w:id="0">
    <w:p w14:paraId="797D03AC" w14:textId="77777777" w:rsidR="00C05B1E" w:rsidRPr="00252BCD" w:rsidRDefault="00C05B1E" w:rsidP="009E7ADC">
      <w:pPr>
        <w:rPr>
          <w:sz w:val="18"/>
          <w:szCs w:val="18"/>
        </w:rPr>
      </w:pPr>
    </w:p>
  </w:footnote>
  <w:footnote w:type="continuationNotice" w:id="1">
    <w:p w14:paraId="247580E5" w14:textId="77777777" w:rsidR="00C05B1E" w:rsidRPr="00252BCD" w:rsidRDefault="00C05B1E"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B85D" w14:textId="77777777" w:rsidR="00527FF5" w:rsidRDefault="00527FF5">
    <w:pPr>
      <w:jc w:val="center"/>
    </w:pPr>
    <w:r>
      <w:pgNum/>
    </w:r>
  </w:p>
  <w:p w14:paraId="76678F44"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3C5C" w14:textId="77777777" w:rsidR="00527FF5" w:rsidRDefault="00527FF5" w:rsidP="00F639BA">
    <w:pPr>
      <w:jc w:val="center"/>
    </w:pPr>
    <w:r>
      <w:pgNum/>
    </w:r>
  </w:p>
  <w:p w14:paraId="2B5281FF"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4C5CE6" w14:paraId="5688A027" w14:textId="77777777">
      <w:trPr>
        <w:trHeight w:val="1418"/>
      </w:trPr>
      <w:tc>
        <w:tcPr>
          <w:tcW w:w="3119" w:type="dxa"/>
        </w:tcPr>
        <w:p w14:paraId="0DBF3F63" w14:textId="77777777" w:rsidR="00F87364" w:rsidRPr="00135C68" w:rsidRDefault="006B1C5F" w:rsidP="00D94150">
          <w:pPr>
            <w:pStyle w:val="Encabezado"/>
            <w:spacing w:before="20" w:after="1180"/>
            <w:rPr>
              <w:rFonts w:ascii="45 Helvetica Light" w:hAnsi="45 Helvetica Light"/>
              <w:sz w:val="18"/>
            </w:rPr>
          </w:pPr>
          <w:r>
            <w:rPr>
              <w:rFonts w:ascii="45 Helvetica Light" w:hAnsi="45 Helvetica Light"/>
              <w:noProof/>
              <w:sz w:val="18"/>
            </w:rPr>
            <w:drawing>
              <wp:inline distT="0" distB="0" distL="0" distR="0" wp14:anchorId="15CFF3F0" wp14:editId="65CDF901">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6520" w:type="dxa"/>
        </w:tcPr>
        <w:p w14:paraId="487BF591" w14:textId="4F62F52A" w:rsidR="007F0C61" w:rsidRPr="007F0C61" w:rsidRDefault="007F0C61" w:rsidP="00BA5BFB">
          <w:pPr>
            <w:autoSpaceDE w:val="0"/>
            <w:autoSpaceDN w:val="0"/>
            <w:adjustRightInd w:val="0"/>
            <w:ind w:right="8"/>
            <w:jc w:val="right"/>
            <w:rPr>
              <w:i/>
              <w:lang w:val="es-ES_tradnl"/>
            </w:rPr>
          </w:pPr>
        </w:p>
      </w:tc>
    </w:tr>
  </w:tbl>
  <w:p w14:paraId="5274E843" w14:textId="77777777" w:rsidR="003104EA" w:rsidRPr="00135C68"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3314FBC6"/>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B1EC2630"/>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5D95144"/>
    <w:multiLevelType w:val="multilevel"/>
    <w:tmpl w:val="6A7221D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9"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ADB125E"/>
    <w:multiLevelType w:val="singleLevel"/>
    <w:tmpl w:val="B916025C"/>
    <w:lvl w:ilvl="0">
      <w:numFmt w:val="bulle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25645720">
    <w:abstractNumId w:val="8"/>
  </w:num>
  <w:num w:numId="2" w16cid:durableId="1488203185">
    <w:abstractNumId w:val="6"/>
  </w:num>
  <w:num w:numId="3" w16cid:durableId="1041979900">
    <w:abstractNumId w:val="5"/>
  </w:num>
  <w:num w:numId="4" w16cid:durableId="741179376">
    <w:abstractNumId w:val="4"/>
  </w:num>
  <w:num w:numId="5" w16cid:durableId="630093086">
    <w:abstractNumId w:val="9"/>
  </w:num>
  <w:num w:numId="6" w16cid:durableId="1351444385">
    <w:abstractNumId w:val="14"/>
  </w:num>
  <w:num w:numId="7" w16cid:durableId="511188743">
    <w:abstractNumId w:val="15"/>
  </w:num>
  <w:num w:numId="8" w16cid:durableId="127629097">
    <w:abstractNumId w:val="3"/>
  </w:num>
  <w:num w:numId="9" w16cid:durableId="1522426315">
    <w:abstractNumId w:val="1"/>
  </w:num>
  <w:num w:numId="10" w16cid:durableId="1911649254">
    <w:abstractNumId w:val="11"/>
  </w:num>
  <w:num w:numId="11" w16cid:durableId="49112135">
    <w:abstractNumId w:val="10"/>
  </w:num>
  <w:num w:numId="12" w16cid:durableId="917254814">
    <w:abstractNumId w:val="13"/>
  </w:num>
  <w:num w:numId="13" w16cid:durableId="1312707800">
    <w:abstractNumId w:val="0"/>
  </w:num>
  <w:num w:numId="14" w16cid:durableId="285475384">
    <w:abstractNumId w:val="12"/>
  </w:num>
  <w:num w:numId="15" w16cid:durableId="1474130901">
    <w:abstractNumId w:val="2"/>
  </w:num>
  <w:num w:numId="16" w16cid:durableId="1172724546">
    <w:abstractNumId w:val="12"/>
  </w:num>
  <w:num w:numId="17" w16cid:durableId="749892958">
    <w:abstractNumId w:val="0"/>
  </w:num>
  <w:num w:numId="18" w16cid:durableId="894462865">
    <w:abstractNumId w:val="2"/>
  </w:num>
  <w:num w:numId="19" w16cid:durableId="1137072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5F"/>
    <w:rsid w:val="000021DD"/>
    <w:rsid w:val="00004D2B"/>
    <w:rsid w:val="0002298F"/>
    <w:rsid w:val="00023669"/>
    <w:rsid w:val="00026EC5"/>
    <w:rsid w:val="000370A1"/>
    <w:rsid w:val="000465C9"/>
    <w:rsid w:val="000569F6"/>
    <w:rsid w:val="00092540"/>
    <w:rsid w:val="00093AB2"/>
    <w:rsid w:val="000A2610"/>
    <w:rsid w:val="000B24C3"/>
    <w:rsid w:val="000D1BB1"/>
    <w:rsid w:val="000E0AB2"/>
    <w:rsid w:val="000F2E1C"/>
    <w:rsid w:val="001006F4"/>
    <w:rsid w:val="00104F21"/>
    <w:rsid w:val="0011269C"/>
    <w:rsid w:val="001150AF"/>
    <w:rsid w:val="001153B2"/>
    <w:rsid w:val="00121A6F"/>
    <w:rsid w:val="00135C68"/>
    <w:rsid w:val="001567C5"/>
    <w:rsid w:val="00161F92"/>
    <w:rsid w:val="0017006D"/>
    <w:rsid w:val="00172757"/>
    <w:rsid w:val="001813EE"/>
    <w:rsid w:val="001A4314"/>
    <w:rsid w:val="001B0258"/>
    <w:rsid w:val="001C2CED"/>
    <w:rsid w:val="001D2A19"/>
    <w:rsid w:val="00213056"/>
    <w:rsid w:val="00232DCA"/>
    <w:rsid w:val="0024634E"/>
    <w:rsid w:val="00252BCD"/>
    <w:rsid w:val="00261EAE"/>
    <w:rsid w:val="0026706D"/>
    <w:rsid w:val="00272937"/>
    <w:rsid w:val="00282124"/>
    <w:rsid w:val="0028250C"/>
    <w:rsid w:val="00282FAD"/>
    <w:rsid w:val="0029168C"/>
    <w:rsid w:val="002A3142"/>
    <w:rsid w:val="002A663B"/>
    <w:rsid w:val="002B1B7A"/>
    <w:rsid w:val="002B2A67"/>
    <w:rsid w:val="002B66E8"/>
    <w:rsid w:val="002C3576"/>
    <w:rsid w:val="002F7773"/>
    <w:rsid w:val="003002DC"/>
    <w:rsid w:val="003104EA"/>
    <w:rsid w:val="003118BD"/>
    <w:rsid w:val="00325076"/>
    <w:rsid w:val="00325132"/>
    <w:rsid w:val="00327900"/>
    <w:rsid w:val="00331C6E"/>
    <w:rsid w:val="003405FB"/>
    <w:rsid w:val="003407BC"/>
    <w:rsid w:val="00342CD6"/>
    <w:rsid w:val="00343FF6"/>
    <w:rsid w:val="0035401F"/>
    <w:rsid w:val="00355163"/>
    <w:rsid w:val="003575D8"/>
    <w:rsid w:val="00361DE6"/>
    <w:rsid w:val="00372B67"/>
    <w:rsid w:val="0037420A"/>
    <w:rsid w:val="003750AE"/>
    <w:rsid w:val="00376861"/>
    <w:rsid w:val="003B1F46"/>
    <w:rsid w:val="00405CC5"/>
    <w:rsid w:val="00422F57"/>
    <w:rsid w:val="00436DF0"/>
    <w:rsid w:val="00445246"/>
    <w:rsid w:val="00450CCF"/>
    <w:rsid w:val="0046077D"/>
    <w:rsid w:val="004611D5"/>
    <w:rsid w:val="004675F4"/>
    <w:rsid w:val="00471015"/>
    <w:rsid w:val="00471CE5"/>
    <w:rsid w:val="004763D5"/>
    <w:rsid w:val="004A31FB"/>
    <w:rsid w:val="004A6F3C"/>
    <w:rsid w:val="004B7E76"/>
    <w:rsid w:val="004C4EBF"/>
    <w:rsid w:val="004C5CE6"/>
    <w:rsid w:val="004C6BEE"/>
    <w:rsid w:val="004D03CA"/>
    <w:rsid w:val="004D221E"/>
    <w:rsid w:val="004D2DA6"/>
    <w:rsid w:val="004E05F3"/>
    <w:rsid w:val="004E1F28"/>
    <w:rsid w:val="004E2B3B"/>
    <w:rsid w:val="004E44D9"/>
    <w:rsid w:val="004E63E4"/>
    <w:rsid w:val="0051701F"/>
    <w:rsid w:val="00527FF5"/>
    <w:rsid w:val="005345AF"/>
    <w:rsid w:val="00536401"/>
    <w:rsid w:val="00540B77"/>
    <w:rsid w:val="005431A8"/>
    <w:rsid w:val="00565476"/>
    <w:rsid w:val="00570EDB"/>
    <w:rsid w:val="005749CB"/>
    <w:rsid w:val="00577828"/>
    <w:rsid w:val="00585B9F"/>
    <w:rsid w:val="00590BBB"/>
    <w:rsid w:val="00594F37"/>
    <w:rsid w:val="00595EB7"/>
    <w:rsid w:val="005A1FD5"/>
    <w:rsid w:val="005A6DC6"/>
    <w:rsid w:val="005B20C7"/>
    <w:rsid w:val="005C24FE"/>
    <w:rsid w:val="005C2838"/>
    <w:rsid w:val="005D36DD"/>
    <w:rsid w:val="005D36F8"/>
    <w:rsid w:val="005D42D7"/>
    <w:rsid w:val="005D7AA9"/>
    <w:rsid w:val="005D7F27"/>
    <w:rsid w:val="005E5DC2"/>
    <w:rsid w:val="005F0892"/>
    <w:rsid w:val="005F4A1C"/>
    <w:rsid w:val="005F5C9B"/>
    <w:rsid w:val="006206CE"/>
    <w:rsid w:val="00635A0F"/>
    <w:rsid w:val="00637585"/>
    <w:rsid w:val="00643F80"/>
    <w:rsid w:val="00652015"/>
    <w:rsid w:val="00653717"/>
    <w:rsid w:val="00653FFD"/>
    <w:rsid w:val="00654B91"/>
    <w:rsid w:val="00656A8B"/>
    <w:rsid w:val="006724B1"/>
    <w:rsid w:val="0067789D"/>
    <w:rsid w:val="00682807"/>
    <w:rsid w:val="006A3ACA"/>
    <w:rsid w:val="006A662B"/>
    <w:rsid w:val="006A79AB"/>
    <w:rsid w:val="006B1882"/>
    <w:rsid w:val="006B1C5F"/>
    <w:rsid w:val="006B2370"/>
    <w:rsid w:val="006C019C"/>
    <w:rsid w:val="006C47EF"/>
    <w:rsid w:val="006D5D8D"/>
    <w:rsid w:val="006E36B1"/>
    <w:rsid w:val="006E5A09"/>
    <w:rsid w:val="007031EE"/>
    <w:rsid w:val="00717D08"/>
    <w:rsid w:val="00744BCF"/>
    <w:rsid w:val="007533DD"/>
    <w:rsid w:val="00756C4A"/>
    <w:rsid w:val="0075775A"/>
    <w:rsid w:val="00757BB9"/>
    <w:rsid w:val="00761DEC"/>
    <w:rsid w:val="0076291C"/>
    <w:rsid w:val="00765B70"/>
    <w:rsid w:val="007664C7"/>
    <w:rsid w:val="0077420D"/>
    <w:rsid w:val="00780CBD"/>
    <w:rsid w:val="00783C7C"/>
    <w:rsid w:val="00787E14"/>
    <w:rsid w:val="00790688"/>
    <w:rsid w:val="007944F2"/>
    <w:rsid w:val="007A2839"/>
    <w:rsid w:val="007B1245"/>
    <w:rsid w:val="007B6036"/>
    <w:rsid w:val="007B6109"/>
    <w:rsid w:val="007C679A"/>
    <w:rsid w:val="007D07CD"/>
    <w:rsid w:val="007D2933"/>
    <w:rsid w:val="007D6956"/>
    <w:rsid w:val="007E0A42"/>
    <w:rsid w:val="007E6319"/>
    <w:rsid w:val="007F0C61"/>
    <w:rsid w:val="007F6E68"/>
    <w:rsid w:val="0081566D"/>
    <w:rsid w:val="008263AE"/>
    <w:rsid w:val="00840214"/>
    <w:rsid w:val="00841847"/>
    <w:rsid w:val="00843281"/>
    <w:rsid w:val="00857B50"/>
    <w:rsid w:val="00865C21"/>
    <w:rsid w:val="0087570D"/>
    <w:rsid w:val="00894502"/>
    <w:rsid w:val="00894CD8"/>
    <w:rsid w:val="00894DA0"/>
    <w:rsid w:val="00897E26"/>
    <w:rsid w:val="008A0E18"/>
    <w:rsid w:val="008A5A68"/>
    <w:rsid w:val="008B1A61"/>
    <w:rsid w:val="008B7E25"/>
    <w:rsid w:val="008C1401"/>
    <w:rsid w:val="008C6FD6"/>
    <w:rsid w:val="008D3810"/>
    <w:rsid w:val="008D58D7"/>
    <w:rsid w:val="008E54AA"/>
    <w:rsid w:val="008E7619"/>
    <w:rsid w:val="008E7AC4"/>
    <w:rsid w:val="008F12A9"/>
    <w:rsid w:val="008F1500"/>
    <w:rsid w:val="0091074C"/>
    <w:rsid w:val="00932DC4"/>
    <w:rsid w:val="00942A02"/>
    <w:rsid w:val="009434D3"/>
    <w:rsid w:val="009459A0"/>
    <w:rsid w:val="009569DE"/>
    <w:rsid w:val="00957FCD"/>
    <w:rsid w:val="00974119"/>
    <w:rsid w:val="009B449A"/>
    <w:rsid w:val="009C0330"/>
    <w:rsid w:val="009C13EF"/>
    <w:rsid w:val="009C1B76"/>
    <w:rsid w:val="009C5280"/>
    <w:rsid w:val="009C5BD0"/>
    <w:rsid w:val="009D6B63"/>
    <w:rsid w:val="009D77AD"/>
    <w:rsid w:val="009E7ADC"/>
    <w:rsid w:val="009F110E"/>
    <w:rsid w:val="009F36E2"/>
    <w:rsid w:val="00A06C89"/>
    <w:rsid w:val="00A24D01"/>
    <w:rsid w:val="00A26C02"/>
    <w:rsid w:val="00A418A0"/>
    <w:rsid w:val="00A455D1"/>
    <w:rsid w:val="00A53E1E"/>
    <w:rsid w:val="00A5792F"/>
    <w:rsid w:val="00A61B34"/>
    <w:rsid w:val="00A62E9D"/>
    <w:rsid w:val="00A6703E"/>
    <w:rsid w:val="00A73891"/>
    <w:rsid w:val="00A809D7"/>
    <w:rsid w:val="00A90518"/>
    <w:rsid w:val="00A92377"/>
    <w:rsid w:val="00AA01D2"/>
    <w:rsid w:val="00AA61ED"/>
    <w:rsid w:val="00AA7A6C"/>
    <w:rsid w:val="00AB41D2"/>
    <w:rsid w:val="00AB7653"/>
    <w:rsid w:val="00AC2359"/>
    <w:rsid w:val="00AE0D85"/>
    <w:rsid w:val="00AE2BF2"/>
    <w:rsid w:val="00AF79E6"/>
    <w:rsid w:val="00B00E3F"/>
    <w:rsid w:val="00B010D9"/>
    <w:rsid w:val="00B11447"/>
    <w:rsid w:val="00B13EB3"/>
    <w:rsid w:val="00B1711E"/>
    <w:rsid w:val="00B22C1B"/>
    <w:rsid w:val="00B262DA"/>
    <w:rsid w:val="00B30CB2"/>
    <w:rsid w:val="00B40E14"/>
    <w:rsid w:val="00B458DD"/>
    <w:rsid w:val="00B55EB9"/>
    <w:rsid w:val="00B57CD2"/>
    <w:rsid w:val="00B66A9C"/>
    <w:rsid w:val="00B7190D"/>
    <w:rsid w:val="00B80B26"/>
    <w:rsid w:val="00B838AD"/>
    <w:rsid w:val="00B84477"/>
    <w:rsid w:val="00B86608"/>
    <w:rsid w:val="00BA404F"/>
    <w:rsid w:val="00BA5BFB"/>
    <w:rsid w:val="00BB367A"/>
    <w:rsid w:val="00BB3ACD"/>
    <w:rsid w:val="00BC0807"/>
    <w:rsid w:val="00BC1442"/>
    <w:rsid w:val="00BC4919"/>
    <w:rsid w:val="00BC507E"/>
    <w:rsid w:val="00BE45E5"/>
    <w:rsid w:val="00BF2822"/>
    <w:rsid w:val="00BF2F28"/>
    <w:rsid w:val="00BF5B9E"/>
    <w:rsid w:val="00C05B1E"/>
    <w:rsid w:val="00C0653D"/>
    <w:rsid w:val="00C06D24"/>
    <w:rsid w:val="00C17350"/>
    <w:rsid w:val="00C21452"/>
    <w:rsid w:val="00C258AA"/>
    <w:rsid w:val="00C2769E"/>
    <w:rsid w:val="00C3300E"/>
    <w:rsid w:val="00C35110"/>
    <w:rsid w:val="00C36654"/>
    <w:rsid w:val="00C402AE"/>
    <w:rsid w:val="00C52F1D"/>
    <w:rsid w:val="00C74B88"/>
    <w:rsid w:val="00C903B8"/>
    <w:rsid w:val="00C91301"/>
    <w:rsid w:val="00C91C2F"/>
    <w:rsid w:val="00C96608"/>
    <w:rsid w:val="00CA3D20"/>
    <w:rsid w:val="00CB2F6E"/>
    <w:rsid w:val="00CB2FA6"/>
    <w:rsid w:val="00CC0402"/>
    <w:rsid w:val="00CC3161"/>
    <w:rsid w:val="00CC7367"/>
    <w:rsid w:val="00CD03E7"/>
    <w:rsid w:val="00CE2270"/>
    <w:rsid w:val="00CF3F12"/>
    <w:rsid w:val="00D154F8"/>
    <w:rsid w:val="00D3589B"/>
    <w:rsid w:val="00D5013D"/>
    <w:rsid w:val="00D50254"/>
    <w:rsid w:val="00D61B31"/>
    <w:rsid w:val="00D64064"/>
    <w:rsid w:val="00D70732"/>
    <w:rsid w:val="00D73262"/>
    <w:rsid w:val="00D73A0A"/>
    <w:rsid w:val="00D94150"/>
    <w:rsid w:val="00DA36D6"/>
    <w:rsid w:val="00DA49AB"/>
    <w:rsid w:val="00DA646A"/>
    <w:rsid w:val="00DB7EC0"/>
    <w:rsid w:val="00DC4D86"/>
    <w:rsid w:val="00DD2E17"/>
    <w:rsid w:val="00DE6ED9"/>
    <w:rsid w:val="00DF39A3"/>
    <w:rsid w:val="00E02449"/>
    <w:rsid w:val="00E048A5"/>
    <w:rsid w:val="00E04D2B"/>
    <w:rsid w:val="00E0544E"/>
    <w:rsid w:val="00E10CD5"/>
    <w:rsid w:val="00E2707C"/>
    <w:rsid w:val="00E270C8"/>
    <w:rsid w:val="00E31D00"/>
    <w:rsid w:val="00E321E6"/>
    <w:rsid w:val="00E3448B"/>
    <w:rsid w:val="00E34D5B"/>
    <w:rsid w:val="00E72B05"/>
    <w:rsid w:val="00E76C5C"/>
    <w:rsid w:val="00E82263"/>
    <w:rsid w:val="00EB2414"/>
    <w:rsid w:val="00EC35B3"/>
    <w:rsid w:val="00ED183A"/>
    <w:rsid w:val="00ED63F7"/>
    <w:rsid w:val="00ED6707"/>
    <w:rsid w:val="00ED7E1E"/>
    <w:rsid w:val="00EE1E5F"/>
    <w:rsid w:val="00EE2A54"/>
    <w:rsid w:val="00F11A72"/>
    <w:rsid w:val="00F13542"/>
    <w:rsid w:val="00F15570"/>
    <w:rsid w:val="00F15EB7"/>
    <w:rsid w:val="00F177AC"/>
    <w:rsid w:val="00F327A1"/>
    <w:rsid w:val="00F33A54"/>
    <w:rsid w:val="00F379A3"/>
    <w:rsid w:val="00F521BF"/>
    <w:rsid w:val="00F6214A"/>
    <w:rsid w:val="00F62978"/>
    <w:rsid w:val="00F639BA"/>
    <w:rsid w:val="00F87364"/>
    <w:rsid w:val="00F87A5B"/>
    <w:rsid w:val="00F963C3"/>
    <w:rsid w:val="00FA2EFC"/>
    <w:rsid w:val="00FB4B14"/>
    <w:rsid w:val="00FC527F"/>
    <w:rsid w:val="00FC5E68"/>
    <w:rsid w:val="00FD4FD5"/>
    <w:rsid w:val="00FE2BD4"/>
    <w:rsid w:val="00FE3A1B"/>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26BC56A3"/>
  <w15:docId w15:val="{9C3127F6-FC45-4EBD-AB7F-BB9F34EC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zh-CN"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CD2"/>
    <w:rPr>
      <w:rFonts w:ascii="Arial" w:hAnsi="Arial"/>
      <w:lang w:eastAsia="fr-CH"/>
    </w:rPr>
  </w:style>
  <w:style w:type="paragraph" w:styleId="Ttulo1">
    <w:name w:val="heading 1"/>
    <w:basedOn w:val="Normal"/>
    <w:next w:val="Textedebase"/>
    <w:qFormat/>
    <w:rsid w:val="00E2707C"/>
    <w:pPr>
      <w:ind w:left="567" w:hanging="567"/>
      <w:outlineLvl w:val="0"/>
    </w:pPr>
    <w:rPr>
      <w:b/>
      <w:bCs/>
    </w:rPr>
  </w:style>
  <w:style w:type="paragraph" w:styleId="Ttulo2">
    <w:name w:val="heading 2"/>
    <w:basedOn w:val="Normal"/>
    <w:next w:val="Textedebase"/>
    <w:qFormat/>
    <w:rsid w:val="00E2707C"/>
    <w:pPr>
      <w:ind w:left="567" w:hanging="567"/>
      <w:outlineLvl w:val="1"/>
    </w:pPr>
    <w:rPr>
      <w:i/>
      <w:iCs/>
    </w:rPr>
  </w:style>
  <w:style w:type="paragraph" w:styleId="Ttulo3">
    <w:name w:val="heading 3"/>
    <w:basedOn w:val="Normal"/>
    <w:next w:val="Textedebase"/>
    <w:qFormat/>
    <w:rsid w:val="00E2707C"/>
    <w:pPr>
      <w:tabs>
        <w:tab w:val="left" w:pos="567"/>
      </w:tabs>
      <w:outlineLvl w:val="2"/>
    </w:pPr>
  </w:style>
  <w:style w:type="paragraph" w:styleId="Ttulo4">
    <w:name w:val="heading 4"/>
    <w:basedOn w:val="Normal"/>
    <w:next w:val="Normal"/>
    <w:qFormat/>
    <w:rsid w:val="00E2707C"/>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qFormat/>
    <w:rsid w:val="007533DD"/>
    <w:rPr>
      <w:rFonts w:ascii="Arial" w:hAnsi="Arial"/>
      <w:b w:val="0"/>
      <w:i w:val="0"/>
      <w:sz w:val="20"/>
      <w:vertAlign w:val="superscript"/>
      <w:lang w:val="es-UY"/>
    </w:rPr>
  </w:style>
  <w:style w:type="paragraph" w:customStyle="1" w:styleId="2Texte">
    <w:name w:val="2 (Texte)"/>
    <w:basedOn w:val="Normal"/>
    <w:rsid w:val="00E2707C"/>
    <w:rPr>
      <w:snapToGrid w:val="0"/>
      <w:lang w:eastAsia="fr-FR"/>
    </w:rPr>
  </w:style>
  <w:style w:type="paragraph" w:customStyle="1" w:styleId="Textedebase">
    <w:name w:val="Texte de base"/>
    <w:basedOn w:val="Normal"/>
    <w:rsid w:val="00E2707C"/>
  </w:style>
  <w:style w:type="paragraph" w:customStyle="1" w:styleId="Premierretrait">
    <w:name w:val="Premier retrait"/>
    <w:basedOn w:val="Textedebase"/>
    <w:rsid w:val="00E2707C"/>
    <w:pPr>
      <w:spacing w:before="120"/>
      <w:ind w:left="567" w:hanging="567"/>
    </w:pPr>
  </w:style>
  <w:style w:type="paragraph" w:customStyle="1" w:styleId="Deuximeretrait">
    <w:name w:val="Deuxième retrait"/>
    <w:basedOn w:val="Textedebase"/>
    <w:rsid w:val="00E2707C"/>
    <w:pPr>
      <w:spacing w:before="120"/>
      <w:ind w:left="1134" w:hanging="567"/>
    </w:pPr>
  </w:style>
  <w:style w:type="paragraph" w:customStyle="1" w:styleId="Troisimeretrait">
    <w:name w:val="Troisième retrait"/>
    <w:basedOn w:val="Textedebase"/>
    <w:rsid w:val="00E2707C"/>
    <w:pPr>
      <w:spacing w:before="120"/>
      <w:ind w:left="1701" w:hanging="567"/>
    </w:pPr>
  </w:style>
  <w:style w:type="paragraph" w:customStyle="1" w:styleId="Datesignature">
    <w:name w:val="Date+signature"/>
    <w:basedOn w:val="Normal"/>
    <w:rsid w:val="00E2707C"/>
    <w:pPr>
      <w:tabs>
        <w:tab w:val="left" w:pos="5500"/>
      </w:tabs>
    </w:pPr>
    <w:rPr>
      <w:noProof/>
    </w:rPr>
  </w:style>
  <w:style w:type="paragraph" w:styleId="Textonotapie">
    <w:name w:val="footnote text"/>
    <w:basedOn w:val="Normal"/>
    <w:semiHidden/>
    <w:rsid w:val="00E2707C"/>
    <w:rPr>
      <w:sz w:val="18"/>
      <w:szCs w:val="18"/>
    </w:rPr>
  </w:style>
  <w:style w:type="paragraph" w:styleId="Piedepgina">
    <w:name w:val="footer"/>
    <w:basedOn w:val="Normal"/>
    <w:rsid w:val="00E2707C"/>
    <w:pPr>
      <w:tabs>
        <w:tab w:val="center" w:pos="4536"/>
        <w:tab w:val="right" w:pos="9072"/>
      </w:tabs>
    </w:pPr>
  </w:style>
  <w:style w:type="paragraph" w:styleId="Encabezado">
    <w:name w:val="header"/>
    <w:basedOn w:val="Normal"/>
    <w:rsid w:val="00E2707C"/>
    <w:pPr>
      <w:tabs>
        <w:tab w:val="center" w:pos="4536"/>
        <w:tab w:val="right" w:pos="9072"/>
      </w:tabs>
    </w:pPr>
  </w:style>
  <w:style w:type="paragraph" w:styleId="Textonotaalfinal">
    <w:name w:val="endnote text"/>
    <w:basedOn w:val="Normal"/>
    <w:semiHidden/>
    <w:rsid w:val="00E2707C"/>
    <w:pPr>
      <w:ind w:left="284" w:hanging="284"/>
    </w:pPr>
    <w:rPr>
      <w:sz w:val="18"/>
      <w:szCs w:val="18"/>
    </w:rPr>
  </w:style>
  <w:style w:type="character" w:styleId="Refdenotaalfinal">
    <w:name w:val="endnote reference"/>
    <w:semiHidden/>
    <w:rsid w:val="00E2707C"/>
    <w:rPr>
      <w:rFonts w:ascii="Arial" w:hAnsi="Arial"/>
      <w:b/>
      <w:sz w:val="20"/>
      <w:szCs w:val="20"/>
      <w:vertAlign w:val="superscript"/>
      <w:lang w:val="es-UY" w:eastAsia="fr-CH" w:bidi="ar-SA"/>
    </w:rPr>
  </w:style>
  <w:style w:type="paragraph" w:styleId="TDC9">
    <w:name w:val="toc 9"/>
    <w:basedOn w:val="Normal"/>
    <w:next w:val="Normal"/>
    <w:autoRedefine/>
    <w:semiHidden/>
    <w:rsid w:val="00E2707C"/>
    <w:pPr>
      <w:tabs>
        <w:tab w:val="left" w:pos="1620"/>
      </w:tabs>
      <w:autoSpaceDE w:val="0"/>
      <w:autoSpaceDN w:val="0"/>
      <w:adjustRightInd w:val="0"/>
    </w:pPr>
    <w:rPr>
      <w:rFonts w:cs="Arial"/>
    </w:rPr>
  </w:style>
  <w:style w:type="paragraph" w:styleId="Textodeglobo">
    <w:name w:val="Balloon Text"/>
    <w:basedOn w:val="Normal"/>
    <w:semiHidden/>
    <w:rsid w:val="00E2707C"/>
    <w:rPr>
      <w:rFonts w:ascii="Tahoma" w:hAnsi="Tahoma" w:cs="Tahoma"/>
      <w:sz w:val="16"/>
      <w:szCs w:val="16"/>
    </w:rPr>
  </w:style>
  <w:style w:type="paragraph" w:customStyle="1" w:styleId="Barredanslamarge">
    <w:name w:val="Barre dans la marge"/>
    <w:basedOn w:val="Normal"/>
    <w:rsid w:val="00E2707C"/>
    <w:pPr>
      <w:autoSpaceDE w:val="0"/>
      <w:autoSpaceDN w:val="0"/>
      <w:adjustRightInd w:val="0"/>
    </w:pPr>
    <w:rPr>
      <w:rFonts w:cs="Arial"/>
      <w:spacing w:val="3"/>
    </w:rPr>
  </w:style>
  <w:style w:type="paragraph" w:customStyle="1" w:styleId="Deuximeretraittableau">
    <w:name w:val="Deuxième retrait tableau"/>
    <w:basedOn w:val="Deuximeretrait"/>
    <w:qFormat/>
    <w:rsid w:val="00471015"/>
    <w:pPr>
      <w:tabs>
        <w:tab w:val="left" w:pos="567"/>
      </w:tabs>
      <w:spacing w:before="60" w:after="60"/>
      <w:ind w:left="568" w:hanging="284"/>
    </w:pPr>
  </w:style>
  <w:style w:type="paragraph" w:customStyle="1" w:styleId="Premierretraittableau">
    <w:name w:val="Premier retrait tableau"/>
    <w:basedOn w:val="Premierretrait"/>
    <w:qFormat/>
    <w:rsid w:val="00B80B26"/>
    <w:pPr>
      <w:tabs>
        <w:tab w:val="left" w:pos="284"/>
      </w:tabs>
      <w:spacing w:before="60" w:after="60"/>
      <w:ind w:left="284" w:hanging="284"/>
    </w:pPr>
  </w:style>
  <w:style w:type="paragraph" w:customStyle="1" w:styleId="TroisimeretraitTableau">
    <w:name w:val="Troisième retrait Tableau"/>
    <w:basedOn w:val="Troisimeretrait"/>
    <w:qFormat/>
    <w:rsid w:val="00471015"/>
    <w:pPr>
      <w:tabs>
        <w:tab w:val="left" w:pos="851"/>
      </w:tabs>
      <w:spacing w:before="60" w:after="60"/>
      <w:ind w:left="851" w:hanging="284"/>
    </w:pPr>
  </w:style>
  <w:style w:type="character" w:styleId="Hipervnculo">
    <w:name w:val="Hyperlink"/>
    <w:uiPriority w:val="99"/>
    <w:rsid w:val="00E2707C"/>
    <w:rPr>
      <w:rFonts w:ascii="Arial" w:hAnsi="Arial"/>
      <w:b/>
      <w:color w:val="auto"/>
      <w:u w:val="none"/>
      <w:lang w:val="es-UY" w:eastAsia="fr-CH" w:bidi="ar-SA"/>
    </w:rPr>
  </w:style>
  <w:style w:type="paragraph" w:customStyle="1" w:styleId="Ordredujour">
    <w:name w:val="Ordre du jour"/>
    <w:basedOn w:val="Normal"/>
    <w:rsid w:val="00E2707C"/>
    <w:pPr>
      <w:spacing w:line="240" w:lineRule="atLeast"/>
      <w:ind w:left="567" w:right="595" w:hanging="567"/>
    </w:pPr>
  </w:style>
  <w:style w:type="paragraph" w:customStyle="1" w:styleId="Ordredujour1relignepoint1">
    <w:name w:val="Ordre du jour (1ère ligne: point 1)"/>
    <w:basedOn w:val="Ordredujour"/>
    <w:next w:val="Ordredujour"/>
    <w:rsid w:val="00E2707C"/>
    <w:pPr>
      <w:ind w:right="295"/>
    </w:pPr>
  </w:style>
  <w:style w:type="paragraph" w:styleId="TDC1">
    <w:name w:val="toc 1"/>
    <w:basedOn w:val="Normal"/>
    <w:next w:val="Normal"/>
    <w:autoRedefine/>
    <w:uiPriority w:val="39"/>
    <w:unhideWhenUsed/>
    <w:rsid w:val="00B84477"/>
    <w:pPr>
      <w:tabs>
        <w:tab w:val="left" w:pos="480"/>
        <w:tab w:val="right" w:leader="dot" w:pos="9628"/>
      </w:tabs>
      <w:spacing w:after="100"/>
    </w:pPr>
  </w:style>
  <w:style w:type="paragraph" w:styleId="TDC2">
    <w:name w:val="toc 2"/>
    <w:basedOn w:val="Normal"/>
    <w:next w:val="Normal"/>
    <w:autoRedefine/>
    <w:unhideWhenUsed/>
    <w:rsid w:val="00AF79E6"/>
    <w:pPr>
      <w:tabs>
        <w:tab w:val="right" w:pos="9638"/>
      </w:tabs>
      <w:spacing w:after="100"/>
    </w:pPr>
  </w:style>
  <w:style w:type="paragraph" w:styleId="TtuloTDC">
    <w:name w:val="TOC Heading"/>
    <w:basedOn w:val="Ttulo1"/>
    <w:next w:val="Normal"/>
    <w:uiPriority w:val="39"/>
    <w:semiHidden/>
    <w:unhideWhenUsed/>
    <w:qFormat/>
    <w:rsid w:val="00B66A9C"/>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customStyle="1" w:styleId="0Textedebase">
    <w:name w:val="0 Texte de base"/>
    <w:basedOn w:val="Normal"/>
    <w:link w:val="0TextedebaseChar"/>
    <w:rsid w:val="00B66A9C"/>
    <w:pPr>
      <w:spacing w:line="240" w:lineRule="atLeast"/>
    </w:pPr>
  </w:style>
  <w:style w:type="paragraph" w:customStyle="1" w:styleId="1Premierretrait">
    <w:name w:val="1 Premier retrait"/>
    <w:basedOn w:val="0Textedebase"/>
    <w:rsid w:val="00B66A9C"/>
    <w:pPr>
      <w:tabs>
        <w:tab w:val="num" w:pos="360"/>
      </w:tabs>
      <w:spacing w:before="120"/>
    </w:pPr>
  </w:style>
  <w:style w:type="character" w:customStyle="1" w:styleId="0TextedebaseChar">
    <w:name w:val="0 Texte de base Char"/>
    <w:basedOn w:val="Fuentedeprrafopredeter"/>
    <w:link w:val="0Textedebase"/>
    <w:rsid w:val="00B66A9C"/>
    <w:rPr>
      <w:rFonts w:ascii="Arial" w:hAnsi="Arial"/>
      <w:lang w:val="es-UY" w:eastAsia="fr-CH"/>
    </w:rPr>
  </w:style>
  <w:style w:type="character" w:styleId="Mencinsinresolver">
    <w:name w:val="Unresolved Mention"/>
    <w:basedOn w:val="Fuentedeprrafopredeter"/>
    <w:uiPriority w:val="99"/>
    <w:semiHidden/>
    <w:unhideWhenUsed/>
    <w:rsid w:val="00B66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TAF@upu.i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TAF@upu.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u.int/en/universal-postal-union/activities/financial-services%23financial-inclu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TAF@up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9C4CB586-DDA8-4209-AEC4-06E8143E8BE8}">
  <ds:schemaRefs>
    <ds:schemaRef ds:uri="http://schemas.openxmlformats.org/officeDocument/2006/bibliography"/>
  </ds:schemaRefs>
</ds:datastoreItem>
</file>

<file path=customXml/itemProps2.xml><?xml version="1.0" encoding="utf-8"?>
<ds:datastoreItem xmlns:ds="http://schemas.openxmlformats.org/officeDocument/2006/customXml" ds:itemID="{67C1C981-1DC2-4F09-934A-BBA1C4DDF6F0}"/>
</file>

<file path=customXml/itemProps3.xml><?xml version="1.0" encoding="utf-8"?>
<ds:datastoreItem xmlns:ds="http://schemas.openxmlformats.org/officeDocument/2006/customXml" ds:itemID="{C901F938-B460-4551-90DA-AAA06B9AF13D}">
  <ds:schemaRefs>
    <ds:schemaRef ds:uri="http://schemas.microsoft.com/sharepoint/v3/contenttype/forms"/>
  </ds:schemaRefs>
</ds:datastoreItem>
</file>

<file path=customXml/itemProps4.xml><?xml version="1.0" encoding="utf-8"?>
<ds:datastoreItem xmlns:ds="http://schemas.openxmlformats.org/officeDocument/2006/customXml" ds:itemID="{96B2E251-C249-48CB-AC5E-212CE9AA54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1889</Words>
  <Characters>10390</Characters>
  <Application>Microsoft Office Word</Application>
  <DocSecurity>0</DocSecurity>
  <Lines>86</Lines>
  <Paragraphs>24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Mariana Cantoni</cp:lastModifiedBy>
  <cp:revision>7</cp:revision>
  <cp:lastPrinted>2009-05-26T10:43:00Z</cp:lastPrinted>
  <dcterms:created xsi:type="dcterms:W3CDTF">2025-07-15T13:23:00Z</dcterms:created>
  <dcterms:modified xsi:type="dcterms:W3CDTF">2025-07-15T13:42:00Z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21400</vt:r8>
  </property>
</Properties>
</file>