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76A97" w14:textId="77777777" w:rsidR="009F7095" w:rsidRPr="009F7095" w:rsidRDefault="009F7095" w:rsidP="009F7095">
      <w:pPr>
        <w:pStyle w:val="3aTroisiemeretraittable"/>
        <w:numPr>
          <w:ilvl w:val="0"/>
          <w:numId w:val="0"/>
        </w:numPr>
        <w:tabs>
          <w:tab w:val="clear" w:pos="851"/>
          <w:tab w:val="left" w:pos="567"/>
        </w:tabs>
        <w:spacing w:before="0" w:after="0"/>
        <w:rPr>
          <w:rFonts w:cs="Arial"/>
          <w:b/>
          <w:bCs/>
        </w:rPr>
      </w:pPr>
      <w:bookmarkStart w:id="0" w:name="_GoBack"/>
      <w:bookmarkEnd w:id="0"/>
      <w:r w:rsidRPr="009F7095">
        <w:rPr>
          <w:rFonts w:cs="Arial"/>
          <w:b/>
          <w:bCs/>
        </w:rPr>
        <w:t>Core principles underlying the Global Postal Model</w:t>
      </w:r>
    </w:p>
    <w:p w14:paraId="58276A98" w14:textId="77777777" w:rsidR="009F7095" w:rsidRPr="009F7095" w:rsidRDefault="009F7095" w:rsidP="009F7095">
      <w:pPr>
        <w:pStyle w:val="3aTroisiemeretraittable"/>
        <w:numPr>
          <w:ilvl w:val="0"/>
          <w:numId w:val="0"/>
        </w:numPr>
        <w:tabs>
          <w:tab w:val="clear" w:pos="851"/>
          <w:tab w:val="left" w:pos="567"/>
        </w:tabs>
        <w:spacing w:before="0" w:after="0"/>
        <w:rPr>
          <w:rFonts w:cs="Arial"/>
        </w:rPr>
      </w:pPr>
    </w:p>
    <w:p w14:paraId="58276A99" w14:textId="77777777" w:rsidR="009F7095" w:rsidRPr="009F7095" w:rsidRDefault="009F7095" w:rsidP="009F7095">
      <w:pPr>
        <w:pStyle w:val="3aTroisiemeretraittable"/>
        <w:numPr>
          <w:ilvl w:val="0"/>
          <w:numId w:val="0"/>
        </w:numPr>
        <w:tabs>
          <w:tab w:val="clear" w:pos="851"/>
          <w:tab w:val="left" w:pos="567"/>
        </w:tabs>
        <w:spacing w:before="0" w:after="0"/>
        <w:rPr>
          <w:rFonts w:cs="Arial"/>
        </w:rPr>
      </w:pPr>
      <w:r w:rsidRPr="009F7095">
        <w:rPr>
          <w:rFonts w:cs="Arial"/>
        </w:rPr>
        <w:t>1</w:t>
      </w:r>
      <w:r w:rsidRPr="009F7095">
        <w:rPr>
          <w:rFonts w:cs="Arial"/>
        </w:rPr>
        <w:tab/>
        <w:t>Various discussions have taken place with Posts, ICAO, the WCO, the European Commission, U.S. Customs and Border Protection, the U.S. Transportation Security Administration, European Union customs authorities, IATA and airlines on the provision of pre-departure electronic item-content data for aviation secu</w:t>
      </w:r>
      <w:r w:rsidR="003D2A69">
        <w:rPr>
          <w:rFonts w:cs="Arial"/>
        </w:rPr>
        <w:softHyphen/>
      </w:r>
      <w:r w:rsidRPr="009F7095">
        <w:rPr>
          <w:rFonts w:cs="Arial"/>
        </w:rPr>
        <w:t xml:space="preserve">rity and fiscal clearance purposes. These new requirements provide an extra security layer on top of the existing aviation security requirements currently met by export Posts. </w:t>
      </w:r>
    </w:p>
    <w:p w14:paraId="58276A9A" w14:textId="77777777" w:rsidR="009F7095" w:rsidRPr="009F7095" w:rsidRDefault="009F7095" w:rsidP="009F7095">
      <w:pPr>
        <w:pStyle w:val="3aTroisiemeretraittable"/>
        <w:numPr>
          <w:ilvl w:val="0"/>
          <w:numId w:val="0"/>
        </w:numPr>
        <w:tabs>
          <w:tab w:val="clear" w:pos="851"/>
          <w:tab w:val="left" w:pos="567"/>
        </w:tabs>
        <w:spacing w:before="0" w:after="0"/>
        <w:rPr>
          <w:rFonts w:cs="Arial"/>
        </w:rPr>
      </w:pPr>
    </w:p>
    <w:p w14:paraId="58276A9B" w14:textId="77777777" w:rsidR="009F7095" w:rsidRPr="009F7095" w:rsidRDefault="009F7095" w:rsidP="009F7095">
      <w:pPr>
        <w:pStyle w:val="3aTroisiemeretraittable"/>
        <w:numPr>
          <w:ilvl w:val="0"/>
          <w:numId w:val="0"/>
        </w:numPr>
        <w:tabs>
          <w:tab w:val="clear" w:pos="851"/>
          <w:tab w:val="left" w:pos="567"/>
        </w:tabs>
        <w:spacing w:before="0" w:after="0"/>
        <w:rPr>
          <w:rFonts w:cs="Arial"/>
        </w:rPr>
      </w:pPr>
      <w:r w:rsidRPr="009F7095">
        <w:rPr>
          <w:rFonts w:cs="Arial"/>
        </w:rPr>
        <w:t>2</w:t>
      </w:r>
      <w:r w:rsidRPr="009F7095">
        <w:rPr>
          <w:rFonts w:cs="Arial"/>
        </w:rPr>
        <w:tab/>
        <w:t>The core principles listed in this section could underpin the capture, exchange and use of electronic item-content CN 22/</w:t>
      </w:r>
      <w:r>
        <w:rPr>
          <w:rFonts w:cs="Arial"/>
        </w:rPr>
        <w:t xml:space="preserve">CN </w:t>
      </w:r>
      <w:r w:rsidRPr="009F7095">
        <w:rPr>
          <w:rFonts w:cs="Arial"/>
        </w:rPr>
        <w:t xml:space="preserve">23 data. Item handling will need to comply with all applicable UPU regulations. It </w:t>
      </w:r>
      <w:proofErr w:type="gramStart"/>
      <w:r w:rsidRPr="009F7095">
        <w:rPr>
          <w:rFonts w:cs="Arial"/>
        </w:rPr>
        <w:t>is anticipated that, as further work is undertaken</w:t>
      </w:r>
      <w:proofErr w:type="gramEnd"/>
      <w:r w:rsidRPr="009F7095">
        <w:rPr>
          <w:rFonts w:cs="Arial"/>
        </w:rPr>
        <w:t xml:space="preserve"> on the use of electronic data for aviation security and fiscal clearance purposes, additional core principles will be identified and presented to the appropriate authorities for endorsement.</w:t>
      </w:r>
    </w:p>
    <w:p w14:paraId="58276A9C" w14:textId="77777777" w:rsidR="009F7095" w:rsidRPr="009F7095" w:rsidRDefault="009F7095" w:rsidP="009F7095">
      <w:pPr>
        <w:pStyle w:val="3aTroisiemeretraittable"/>
        <w:numPr>
          <w:ilvl w:val="0"/>
          <w:numId w:val="0"/>
        </w:numPr>
        <w:tabs>
          <w:tab w:val="clear" w:pos="851"/>
          <w:tab w:val="left" w:pos="567"/>
        </w:tabs>
        <w:spacing w:before="0" w:after="0"/>
        <w:rPr>
          <w:rFonts w:cs="Arial"/>
        </w:rPr>
      </w:pPr>
    </w:p>
    <w:p w14:paraId="58276A9D" w14:textId="77777777" w:rsidR="009F7095" w:rsidRPr="009F7095" w:rsidRDefault="009F7095" w:rsidP="009F7095">
      <w:pPr>
        <w:pStyle w:val="3aTroisiemeretraittable"/>
        <w:numPr>
          <w:ilvl w:val="0"/>
          <w:numId w:val="0"/>
        </w:numPr>
        <w:tabs>
          <w:tab w:val="clear" w:pos="851"/>
          <w:tab w:val="left" w:pos="567"/>
        </w:tabs>
        <w:spacing w:before="0" w:after="0"/>
        <w:rPr>
          <w:rFonts w:cs="Arial"/>
        </w:rPr>
      </w:pPr>
      <w:r w:rsidRPr="009F7095">
        <w:rPr>
          <w:rFonts w:cs="Arial"/>
        </w:rPr>
        <w:t>3</w:t>
      </w:r>
      <w:r w:rsidRPr="009F7095">
        <w:rPr>
          <w:rFonts w:cs="Arial"/>
        </w:rPr>
        <w:tab/>
        <w:t>Listed below are the initially identified core principles, followed where necessary by some explana</w:t>
      </w:r>
      <w:r w:rsidR="003D2A69">
        <w:rPr>
          <w:rFonts w:cs="Arial"/>
        </w:rPr>
        <w:softHyphen/>
      </w:r>
      <w:r w:rsidRPr="009F7095">
        <w:rPr>
          <w:rFonts w:cs="Arial"/>
        </w:rPr>
        <w:t>tions. These principles seek to establish the basic building blocks for the exchange of item-content data for both aviation security and fiscal clearance purposes.</w:t>
      </w:r>
    </w:p>
    <w:p w14:paraId="58276A9E" w14:textId="77777777" w:rsidR="009F7095" w:rsidRPr="009F7095" w:rsidRDefault="009F7095" w:rsidP="009F7095">
      <w:pPr>
        <w:pStyle w:val="3aTroisiemeretraittable"/>
        <w:numPr>
          <w:ilvl w:val="0"/>
          <w:numId w:val="0"/>
        </w:numPr>
        <w:tabs>
          <w:tab w:val="clear" w:pos="851"/>
          <w:tab w:val="left" w:pos="567"/>
        </w:tabs>
        <w:spacing w:before="0" w:after="0"/>
        <w:rPr>
          <w:rFonts w:cs="Arial"/>
        </w:rPr>
      </w:pPr>
    </w:p>
    <w:p w14:paraId="58276A9F" w14:textId="77777777" w:rsidR="009F7095" w:rsidRPr="009F7095" w:rsidRDefault="009F7095" w:rsidP="009F7095">
      <w:pPr>
        <w:pStyle w:val="3aTroisiemeretraittable"/>
        <w:numPr>
          <w:ilvl w:val="0"/>
          <w:numId w:val="0"/>
        </w:numPr>
        <w:tabs>
          <w:tab w:val="clear" w:pos="851"/>
          <w:tab w:val="left" w:pos="567"/>
        </w:tabs>
        <w:spacing w:before="0" w:after="0"/>
        <w:ind w:left="567" w:hanging="567"/>
        <w:rPr>
          <w:rFonts w:cs="Arial"/>
        </w:rPr>
      </w:pPr>
      <w:proofErr w:type="gramStart"/>
      <w:r w:rsidRPr="009F7095">
        <w:rPr>
          <w:rFonts w:cs="Arial"/>
        </w:rPr>
        <w:t>i</w:t>
      </w:r>
      <w:proofErr w:type="gramEnd"/>
      <w:r w:rsidRPr="009F7095">
        <w:rPr>
          <w:rFonts w:cs="Arial"/>
        </w:rPr>
        <w:tab/>
        <w:t>In line with article 9.2 of the Universal Postal Convention, EAD must be implemented without hamper</w:t>
      </w:r>
      <w:r w:rsidR="003D2A69">
        <w:rPr>
          <w:rFonts w:cs="Arial"/>
        </w:rPr>
        <w:softHyphen/>
      </w:r>
      <w:r w:rsidRPr="009F7095">
        <w:rPr>
          <w:rFonts w:cs="Arial"/>
        </w:rPr>
        <w:t>ing trade and mail flows.</w:t>
      </w:r>
    </w:p>
    <w:p w14:paraId="58276AA0"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ii</w:t>
      </w:r>
      <w:proofErr w:type="gramEnd"/>
      <w:r w:rsidRPr="009F7095">
        <w:rPr>
          <w:rFonts w:cs="Arial"/>
        </w:rPr>
        <w:tab/>
        <w:t>Roles and responsibilities must be defined for origin and destination Posts and security authorities (e.g. customs authorities, border agencies, aviation security bodies) to ensure monitoring and reliabil</w:t>
      </w:r>
      <w:r w:rsidR="003D2A69">
        <w:rPr>
          <w:rFonts w:cs="Arial"/>
        </w:rPr>
        <w:softHyphen/>
      </w:r>
      <w:r w:rsidRPr="009F7095">
        <w:rPr>
          <w:rFonts w:cs="Arial"/>
        </w:rPr>
        <w:t xml:space="preserve">ity of end-to-end message flows. </w:t>
      </w:r>
    </w:p>
    <w:p w14:paraId="58276AA1" w14:textId="77777777" w:rsidR="009F7095" w:rsidRPr="009F7095" w:rsidRDefault="009F7095" w:rsidP="009F7095">
      <w:pPr>
        <w:pStyle w:val="1Premierretrait"/>
        <w:tabs>
          <w:tab w:val="clear" w:pos="567"/>
          <w:tab w:val="num" w:pos="1134"/>
        </w:tabs>
        <w:ind w:left="1134"/>
        <w:rPr>
          <w:sz w:val="18"/>
          <w:szCs w:val="18"/>
        </w:rPr>
      </w:pPr>
      <w:r w:rsidRPr="009F7095">
        <w:rPr>
          <w:sz w:val="18"/>
          <w:szCs w:val="18"/>
        </w:rPr>
        <w:t xml:space="preserve">In order for the time between the creation of an ITMATT and the receipt of the corresponding response to be in the order of minutes, all parties involved along the data exchange pipeline must ensure the rapid creation and transmission of messages. Moreover, the technical infrastructure must be robust enough to support this rapid transmission and have sufficient capacity to handle the volumes of data that </w:t>
      </w:r>
      <w:proofErr w:type="gramStart"/>
      <w:r w:rsidRPr="009F7095">
        <w:rPr>
          <w:sz w:val="18"/>
          <w:szCs w:val="18"/>
        </w:rPr>
        <w:t>will be exchanged</w:t>
      </w:r>
      <w:proofErr w:type="gramEnd"/>
      <w:r w:rsidRPr="009F7095">
        <w:rPr>
          <w:sz w:val="18"/>
          <w:szCs w:val="18"/>
        </w:rPr>
        <w:t xml:space="preserve"> at peak times.</w:t>
      </w:r>
    </w:p>
    <w:p w14:paraId="58276AA2"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iii</w:t>
      </w:r>
      <w:proofErr w:type="gramEnd"/>
      <w:r w:rsidRPr="009F7095">
        <w:rPr>
          <w:rFonts w:cs="Arial"/>
        </w:rPr>
        <w:tab/>
        <w:t xml:space="preserve">ITMATTs and their corresponding responses must be able to be exchanged 365 days a year, 24 hours a day. </w:t>
      </w:r>
    </w:p>
    <w:p w14:paraId="58276AA3" w14:textId="77777777" w:rsidR="009F7095" w:rsidRPr="009F7095" w:rsidRDefault="009F7095" w:rsidP="009F7095">
      <w:pPr>
        <w:pStyle w:val="1Premierretrait"/>
        <w:tabs>
          <w:tab w:val="clear" w:pos="567"/>
          <w:tab w:val="num" w:pos="1134"/>
        </w:tabs>
        <w:ind w:left="1134"/>
        <w:rPr>
          <w:sz w:val="18"/>
          <w:szCs w:val="18"/>
        </w:rPr>
      </w:pPr>
      <w:r w:rsidRPr="009F7095">
        <w:rPr>
          <w:sz w:val="18"/>
          <w:szCs w:val="18"/>
        </w:rPr>
        <w:t xml:space="preserve">International mail </w:t>
      </w:r>
      <w:proofErr w:type="gramStart"/>
      <w:r w:rsidRPr="009F7095">
        <w:rPr>
          <w:sz w:val="18"/>
          <w:szCs w:val="18"/>
        </w:rPr>
        <w:t>is exchanged</w:t>
      </w:r>
      <w:proofErr w:type="gramEnd"/>
      <w:r w:rsidRPr="009F7095">
        <w:rPr>
          <w:sz w:val="18"/>
          <w:szCs w:val="18"/>
        </w:rPr>
        <w:t xml:space="preserve"> continuously throughout the year. The exchange of ITMATT messages and their corresponding responses must support this operational reality. </w:t>
      </w:r>
    </w:p>
    <w:p w14:paraId="58276AA4"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iv</w:t>
      </w:r>
      <w:proofErr w:type="gramEnd"/>
      <w:r w:rsidRPr="009F7095">
        <w:rPr>
          <w:rFonts w:cs="Arial"/>
        </w:rPr>
        <w:tab/>
        <w:t xml:space="preserve">"Assessment complete for air conveyance" denotes that the appropriate destination authorities have, subject to any further advice, cleared the item to be conveyed by air to the destination country. </w:t>
      </w:r>
    </w:p>
    <w:p w14:paraId="58276AA5" w14:textId="77777777" w:rsidR="009F7095" w:rsidRPr="009F7095" w:rsidRDefault="009F7095" w:rsidP="009F7095">
      <w:pPr>
        <w:pStyle w:val="1Premierretrait"/>
        <w:tabs>
          <w:tab w:val="clear" w:pos="567"/>
          <w:tab w:val="num" w:pos="1134"/>
        </w:tabs>
        <w:ind w:left="1134"/>
        <w:rPr>
          <w:sz w:val="18"/>
          <w:szCs w:val="18"/>
        </w:rPr>
      </w:pPr>
      <w:r w:rsidRPr="009F7095">
        <w:rPr>
          <w:sz w:val="18"/>
          <w:szCs w:val="18"/>
        </w:rPr>
        <w:t xml:space="preserve">The purpose of an agreed definition is to ensure that all users of this term have a common understanding of its meaning. The phrase "…subject to any further advice" signifies </w:t>
      </w:r>
      <w:r w:rsidRPr="009F7095">
        <w:rPr>
          <w:sz w:val="18"/>
          <w:szCs w:val="18"/>
        </w:rPr>
        <w:lastRenderedPageBreak/>
        <w:t>that border agencies may reassess their decision of "assessment complete for air conveyance", based upon updated information or intelli</w:t>
      </w:r>
      <w:r w:rsidR="003D2A69">
        <w:rPr>
          <w:sz w:val="18"/>
          <w:szCs w:val="18"/>
        </w:rPr>
        <w:softHyphen/>
      </w:r>
      <w:r w:rsidRPr="009F7095">
        <w:rPr>
          <w:sz w:val="18"/>
          <w:szCs w:val="18"/>
        </w:rPr>
        <w:t>gence on the relevant mail item.</w:t>
      </w:r>
    </w:p>
    <w:p w14:paraId="58276AA6"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v</w:t>
      </w:r>
      <w:proofErr w:type="gramEnd"/>
      <w:r w:rsidRPr="009F7095">
        <w:rPr>
          <w:rFonts w:cs="Arial"/>
        </w:rPr>
        <w:tab/>
        <w:t>Aviation security decisions in response to the receipt of item-level data will be in minutes.</w:t>
      </w:r>
    </w:p>
    <w:p w14:paraId="58276AA7" w14:textId="77777777" w:rsidR="009F7095" w:rsidRPr="009F7095" w:rsidRDefault="009F7095" w:rsidP="009F7095">
      <w:pPr>
        <w:pStyle w:val="1Premierretrait"/>
        <w:tabs>
          <w:tab w:val="clear" w:pos="567"/>
          <w:tab w:val="num" w:pos="1134"/>
        </w:tabs>
        <w:ind w:left="1134"/>
        <w:rPr>
          <w:sz w:val="18"/>
          <w:szCs w:val="18"/>
        </w:rPr>
      </w:pPr>
      <w:r w:rsidRPr="009F7095">
        <w:rPr>
          <w:sz w:val="18"/>
          <w:szCs w:val="18"/>
        </w:rPr>
        <w:t>Once the origin Post creates an ITMATT message, it should receive a response from destination Customs within minutes. Longer response times would have a detrimental effect on the export Post</w:t>
      </w:r>
      <w:r w:rsidR="007A763D">
        <w:rPr>
          <w:sz w:val="18"/>
          <w:szCs w:val="18"/>
        </w:rPr>
        <w:t>'</w:t>
      </w:r>
      <w:r w:rsidRPr="009F7095">
        <w:rPr>
          <w:sz w:val="18"/>
          <w:szCs w:val="18"/>
        </w:rPr>
        <w:t xml:space="preserve">s operations and there is a need for standardized </w:t>
      </w:r>
      <w:proofErr w:type="gramStart"/>
      <w:r w:rsidRPr="009F7095">
        <w:rPr>
          <w:sz w:val="18"/>
          <w:szCs w:val="18"/>
        </w:rPr>
        <w:t>time frames</w:t>
      </w:r>
      <w:proofErr w:type="gramEnd"/>
      <w:r w:rsidRPr="009F7095">
        <w:rPr>
          <w:sz w:val="18"/>
          <w:szCs w:val="18"/>
        </w:rPr>
        <w:t xml:space="preserve"> across all jurisdictions. It may also be possible to agree on an arrangement whereby, if no response is received within a specified </w:t>
      </w:r>
      <w:proofErr w:type="gramStart"/>
      <w:r w:rsidRPr="009F7095">
        <w:rPr>
          <w:sz w:val="18"/>
          <w:szCs w:val="18"/>
        </w:rPr>
        <w:t>time frame</w:t>
      </w:r>
      <w:proofErr w:type="gramEnd"/>
      <w:r w:rsidRPr="009F7095">
        <w:rPr>
          <w:sz w:val="18"/>
          <w:szCs w:val="18"/>
        </w:rPr>
        <w:t>, the item may be tendered to the airline.</w:t>
      </w:r>
    </w:p>
    <w:p w14:paraId="58276AA8"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vi</w:t>
      </w:r>
      <w:proofErr w:type="gramEnd"/>
      <w:r w:rsidRPr="009F7095">
        <w:rPr>
          <w:rFonts w:cs="Arial"/>
        </w:rPr>
        <w:tab/>
        <w:t>Only items that have obtained "assessment complete for air conveyance" status or that have been processed in compliance with defined security referral procedures will be dispatched.</w:t>
      </w:r>
    </w:p>
    <w:p w14:paraId="58276AA9" w14:textId="77777777" w:rsidR="009F7095" w:rsidRPr="009F7095" w:rsidRDefault="009F7095" w:rsidP="009F7095">
      <w:pPr>
        <w:pStyle w:val="1Premierretrait"/>
        <w:tabs>
          <w:tab w:val="clear" w:pos="567"/>
          <w:tab w:val="num" w:pos="1134"/>
        </w:tabs>
        <w:ind w:left="1134"/>
        <w:rPr>
          <w:sz w:val="18"/>
          <w:szCs w:val="18"/>
        </w:rPr>
      </w:pPr>
      <w:r w:rsidRPr="009F7095">
        <w:rPr>
          <w:sz w:val="18"/>
          <w:szCs w:val="18"/>
        </w:rPr>
        <w:t>Apart from a "do not load" message, export Posts will expect one of two responses to their ITMATT: "</w:t>
      </w:r>
      <w:proofErr w:type="gramStart"/>
      <w:r w:rsidRPr="009F7095">
        <w:rPr>
          <w:sz w:val="18"/>
          <w:szCs w:val="18"/>
        </w:rPr>
        <w:t>assessment</w:t>
      </w:r>
      <w:proofErr w:type="gramEnd"/>
      <w:r w:rsidRPr="009F7095">
        <w:rPr>
          <w:sz w:val="18"/>
          <w:szCs w:val="18"/>
        </w:rPr>
        <w:t xml:space="preserve"> complete for air conveyance" or a "referral" message. </w:t>
      </w:r>
      <w:r w:rsidR="007A763D">
        <w:rPr>
          <w:sz w:val="18"/>
          <w:szCs w:val="18"/>
        </w:rPr>
        <w:t>"</w:t>
      </w:r>
      <w:r w:rsidRPr="009F7095">
        <w:rPr>
          <w:sz w:val="18"/>
          <w:szCs w:val="18"/>
        </w:rPr>
        <w:t>Assessment complete</w:t>
      </w:r>
      <w:r w:rsidR="007A763D">
        <w:rPr>
          <w:sz w:val="18"/>
          <w:szCs w:val="18"/>
        </w:rPr>
        <w:t>"</w:t>
      </w:r>
      <w:r w:rsidRPr="009F7095">
        <w:rPr>
          <w:sz w:val="18"/>
          <w:szCs w:val="18"/>
        </w:rPr>
        <w:t xml:space="preserve"> status may also be inferred if no response is received from the destination authorities (i.e. absence of any referral) within an agreed </w:t>
      </w:r>
      <w:proofErr w:type="gramStart"/>
      <w:r w:rsidRPr="009F7095">
        <w:rPr>
          <w:sz w:val="18"/>
          <w:szCs w:val="18"/>
        </w:rPr>
        <w:t>time frame</w:t>
      </w:r>
      <w:proofErr w:type="gramEnd"/>
      <w:r w:rsidRPr="009F7095">
        <w:rPr>
          <w:sz w:val="18"/>
          <w:szCs w:val="18"/>
        </w:rPr>
        <w:t xml:space="preserve">. Detailed work has yet to </w:t>
      </w:r>
      <w:proofErr w:type="gramStart"/>
      <w:r w:rsidRPr="009F7095">
        <w:rPr>
          <w:sz w:val="18"/>
          <w:szCs w:val="18"/>
        </w:rPr>
        <w:t>be undertaken</w:t>
      </w:r>
      <w:proofErr w:type="gramEnd"/>
      <w:r w:rsidRPr="009F7095">
        <w:rPr>
          <w:sz w:val="18"/>
          <w:szCs w:val="18"/>
        </w:rPr>
        <w:t xml:space="preserve"> on referral messages, but it is envis</w:t>
      </w:r>
      <w:r w:rsidR="003D2A69">
        <w:rPr>
          <w:sz w:val="18"/>
          <w:szCs w:val="18"/>
        </w:rPr>
        <w:softHyphen/>
      </w:r>
      <w:r w:rsidRPr="009F7095">
        <w:rPr>
          <w:sz w:val="18"/>
          <w:szCs w:val="18"/>
        </w:rPr>
        <w:t xml:space="preserve">aged that these will be sent by the import border agency via the import Post. For example, the referral message could request the export Post to either provide additional information or undertake additional screening of the relevant item. Once the item </w:t>
      </w:r>
      <w:proofErr w:type="gramStart"/>
      <w:r w:rsidRPr="009F7095">
        <w:rPr>
          <w:sz w:val="18"/>
          <w:szCs w:val="18"/>
        </w:rPr>
        <w:t>has been subjected</w:t>
      </w:r>
      <w:proofErr w:type="gramEnd"/>
      <w:r w:rsidRPr="009F7095">
        <w:rPr>
          <w:sz w:val="18"/>
          <w:szCs w:val="18"/>
        </w:rPr>
        <w:t xml:space="preserve"> to these additional procedures, it can be dispatched.</w:t>
      </w:r>
    </w:p>
    <w:p w14:paraId="58276AAA"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vii</w:t>
      </w:r>
      <w:proofErr w:type="gramEnd"/>
      <w:r w:rsidRPr="009F7095">
        <w:rPr>
          <w:rFonts w:cs="Arial"/>
        </w:rPr>
        <w:tab/>
        <w:t>A flag will be set in the CARDIT message (pre-advice message from Posts to airlines on the mail to be conveyed) to signal that the mail has cleared EAD requirements or is exempt.</w:t>
      </w:r>
    </w:p>
    <w:p w14:paraId="58276AAB" w14:textId="77777777" w:rsidR="009F7095" w:rsidRPr="009F7095" w:rsidRDefault="009F7095" w:rsidP="009F7095">
      <w:pPr>
        <w:pStyle w:val="1Premierretrait"/>
        <w:tabs>
          <w:tab w:val="clear" w:pos="567"/>
          <w:tab w:val="num" w:pos="1134"/>
        </w:tabs>
        <w:ind w:left="1134"/>
        <w:rPr>
          <w:sz w:val="18"/>
          <w:szCs w:val="18"/>
        </w:rPr>
      </w:pPr>
      <w:r w:rsidRPr="009F7095">
        <w:rPr>
          <w:sz w:val="18"/>
          <w:szCs w:val="18"/>
        </w:rPr>
        <w:t>The CARDIT message will generally be the vehicle through which the carriers are informed that the mail they are about to convey has been subject to aviation security scrutiny, and that the import border agency has assigned "assessment complete for air conveyance" status.</w:t>
      </w:r>
    </w:p>
    <w:p w14:paraId="58276AAC"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viii</w:t>
      </w:r>
      <w:proofErr w:type="gramEnd"/>
      <w:r w:rsidRPr="009F7095">
        <w:rPr>
          <w:rFonts w:cs="Arial"/>
        </w:rPr>
        <w:tab/>
        <w:t>Origin Post sends item data and dispatch data to the destination Post (ITMATT, PREDES).</w:t>
      </w:r>
    </w:p>
    <w:p w14:paraId="58276AAD"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ix</w:t>
      </w:r>
      <w:proofErr w:type="gramEnd"/>
      <w:r w:rsidRPr="009F7095">
        <w:rPr>
          <w:rFonts w:cs="Arial"/>
        </w:rPr>
        <w:tab/>
        <w:t>Destination Post sends data to the destination Customs (CUSITM or local equivalent).</w:t>
      </w:r>
    </w:p>
    <w:p w14:paraId="58276AAE"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x</w:t>
      </w:r>
      <w:proofErr w:type="gramEnd"/>
      <w:r w:rsidRPr="009F7095">
        <w:rPr>
          <w:rFonts w:cs="Arial"/>
        </w:rPr>
        <w:tab/>
        <w:t>Destination Customs sends customs response to the destination Post (CUSRSP or local equivalent).</w:t>
      </w:r>
    </w:p>
    <w:p w14:paraId="58276AAF"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xi</w:t>
      </w:r>
      <w:proofErr w:type="gramEnd"/>
      <w:r w:rsidRPr="009F7095">
        <w:rPr>
          <w:rFonts w:cs="Arial"/>
        </w:rPr>
        <w:tab/>
        <w:t>Destination Post sends data to the origin Post (EDI).</w:t>
      </w:r>
    </w:p>
    <w:p w14:paraId="58276AB0" w14:textId="77777777" w:rsidR="009F7095" w:rsidRPr="009F7095" w:rsidRDefault="009F7095" w:rsidP="009F7095">
      <w:pPr>
        <w:pStyle w:val="1Premierretrait"/>
        <w:tabs>
          <w:tab w:val="clear" w:pos="567"/>
        </w:tabs>
        <w:ind w:left="1134"/>
        <w:rPr>
          <w:sz w:val="18"/>
          <w:szCs w:val="18"/>
        </w:rPr>
      </w:pPr>
      <w:r w:rsidRPr="009F7095">
        <w:rPr>
          <w:sz w:val="18"/>
          <w:szCs w:val="18"/>
        </w:rPr>
        <w:t>The EDI message referred to here conveys the "assessment complete" or r</w:t>
      </w:r>
      <w:r w:rsidR="00F44D4B">
        <w:rPr>
          <w:sz w:val="18"/>
          <w:szCs w:val="18"/>
        </w:rPr>
        <w:t>eferral messages that the des</w:t>
      </w:r>
      <w:r w:rsidR="003D2A69">
        <w:rPr>
          <w:sz w:val="18"/>
          <w:szCs w:val="18"/>
        </w:rPr>
        <w:softHyphen/>
      </w:r>
      <w:r w:rsidR="00F44D4B">
        <w:rPr>
          <w:sz w:val="18"/>
          <w:szCs w:val="18"/>
        </w:rPr>
        <w:t>ti</w:t>
      </w:r>
      <w:r w:rsidRPr="009F7095">
        <w:rPr>
          <w:sz w:val="18"/>
          <w:szCs w:val="18"/>
        </w:rPr>
        <w:t xml:space="preserve">nation Post sends to the origin Post based on the messages the former receives from the destination customs authority. This </w:t>
      </w:r>
      <w:r w:rsidRPr="009F7095">
        <w:rPr>
          <w:sz w:val="18"/>
          <w:szCs w:val="18"/>
        </w:rPr>
        <w:lastRenderedPageBreak/>
        <w:t xml:space="preserve">message still needs to be developed and </w:t>
      </w:r>
      <w:proofErr w:type="gramStart"/>
      <w:r w:rsidRPr="009F7095">
        <w:rPr>
          <w:sz w:val="18"/>
          <w:szCs w:val="18"/>
        </w:rPr>
        <w:t>identified</w:t>
      </w:r>
      <w:proofErr w:type="gramEnd"/>
      <w:r w:rsidRPr="009F7095">
        <w:rPr>
          <w:sz w:val="18"/>
          <w:szCs w:val="18"/>
        </w:rPr>
        <w:t xml:space="preserve">. Equivalent Post–Customs messages </w:t>
      </w:r>
      <w:proofErr w:type="gramStart"/>
      <w:r w:rsidRPr="009F7095">
        <w:rPr>
          <w:sz w:val="18"/>
          <w:szCs w:val="18"/>
        </w:rPr>
        <w:t>can also be used</w:t>
      </w:r>
      <w:proofErr w:type="gramEnd"/>
      <w:r w:rsidRPr="009F7095">
        <w:rPr>
          <w:sz w:val="18"/>
          <w:szCs w:val="18"/>
        </w:rPr>
        <w:t>.</w:t>
      </w:r>
    </w:p>
    <w:p w14:paraId="58276AB1"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xii</w:t>
      </w:r>
      <w:proofErr w:type="gramEnd"/>
      <w:r w:rsidRPr="009F7095">
        <w:rPr>
          <w:rFonts w:cs="Arial"/>
        </w:rPr>
        <w:tab/>
        <w:t>Origin Post sends dispatch data to the destination Post (PREDES).</w:t>
      </w:r>
    </w:p>
    <w:p w14:paraId="58276AB2"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xiii</w:t>
      </w:r>
      <w:proofErr w:type="gramEnd"/>
      <w:r w:rsidRPr="009F7095">
        <w:rPr>
          <w:rFonts w:cs="Arial"/>
        </w:rPr>
        <w:tab/>
        <w:t>Destination Post sends dispatch data to the destination Customs.</w:t>
      </w:r>
    </w:p>
    <w:p w14:paraId="58276AB3"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xiv</w:t>
      </w:r>
      <w:proofErr w:type="gramEnd"/>
      <w:r w:rsidRPr="009F7095">
        <w:rPr>
          <w:rFonts w:cs="Arial"/>
        </w:rPr>
        <w:tab/>
        <w:t>Origin Post sends consignment data to the origin carrier.</w:t>
      </w:r>
    </w:p>
    <w:p w14:paraId="58276AB4" w14:textId="77777777" w:rsidR="009F7095" w:rsidRPr="009F7095" w:rsidRDefault="009F7095" w:rsidP="009F7095">
      <w:pPr>
        <w:pStyle w:val="3aTroisiemeretraittable"/>
        <w:numPr>
          <w:ilvl w:val="0"/>
          <w:numId w:val="0"/>
        </w:numPr>
        <w:tabs>
          <w:tab w:val="clear" w:pos="851"/>
          <w:tab w:val="left" w:pos="567"/>
        </w:tabs>
        <w:spacing w:before="120" w:after="0"/>
        <w:ind w:left="567" w:hanging="567"/>
        <w:rPr>
          <w:rFonts w:cs="Arial"/>
        </w:rPr>
      </w:pPr>
      <w:proofErr w:type="gramStart"/>
      <w:r w:rsidRPr="009F7095">
        <w:rPr>
          <w:rFonts w:cs="Arial"/>
        </w:rPr>
        <w:t>xv</w:t>
      </w:r>
      <w:proofErr w:type="gramEnd"/>
      <w:r w:rsidRPr="009F7095">
        <w:rPr>
          <w:rFonts w:cs="Arial"/>
        </w:rPr>
        <w:tab/>
        <w:t>Origin carrier sends manifest data to the destination Customs.</w:t>
      </w:r>
    </w:p>
    <w:p w14:paraId="58276AB5" w14:textId="77777777" w:rsidR="00B618E6" w:rsidRPr="009F7095" w:rsidRDefault="00B618E6" w:rsidP="009F7095">
      <w:pPr>
        <w:pStyle w:val="3aTroisiemeretraittable"/>
        <w:numPr>
          <w:ilvl w:val="0"/>
          <w:numId w:val="0"/>
        </w:numPr>
        <w:tabs>
          <w:tab w:val="clear" w:pos="851"/>
          <w:tab w:val="left" w:pos="567"/>
        </w:tabs>
        <w:spacing w:before="0" w:after="0"/>
        <w:rPr>
          <w:rFonts w:cs="Arial"/>
        </w:rPr>
      </w:pPr>
    </w:p>
    <w:sectPr w:rsidR="00B618E6" w:rsidRPr="009F7095" w:rsidSect="003118BD">
      <w:headerReference w:type="even" r:id="rId12"/>
      <w:headerReference w:type="default" r:id="rId13"/>
      <w:headerReference w:type="first" r:id="rId14"/>
      <w:footerReference w:type="first" r:id="rId15"/>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6AB9" w14:textId="77777777" w:rsidR="0064533C" w:rsidRDefault="0064533C">
      <w:pPr>
        <w:spacing w:after="120"/>
        <w:rPr>
          <w:sz w:val="18"/>
        </w:rPr>
      </w:pPr>
      <w:r>
        <w:rPr>
          <w:sz w:val="18"/>
        </w:rPr>
        <w:t>____________</w:t>
      </w:r>
    </w:p>
  </w:endnote>
  <w:endnote w:type="continuationSeparator" w:id="0">
    <w:p w14:paraId="58276ABA" w14:textId="77777777" w:rsidR="0064533C" w:rsidRDefault="0064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6AC4" w14:textId="77777777" w:rsidR="009F7095" w:rsidRDefault="009F7095">
    <w:pPr>
      <w:pStyle w:val="Footer"/>
    </w:pPr>
    <w:r>
      <w:t>Dae</w:t>
    </w:r>
  </w:p>
  <w:p w14:paraId="58276AC5" w14:textId="77777777" w:rsidR="009F7095" w:rsidRDefault="009F7095">
    <w:pPr>
      <w:pStyle w:val="Footer"/>
    </w:pPr>
    <w:r>
      <w:t>3.2.2016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76AB6" w14:textId="77777777" w:rsidR="0064533C" w:rsidRDefault="0064533C" w:rsidP="009E7ADC">
      <w:pPr>
        <w:rPr>
          <w:sz w:val="18"/>
        </w:rPr>
      </w:pPr>
    </w:p>
  </w:footnote>
  <w:footnote w:type="continuationSeparator" w:id="0">
    <w:p w14:paraId="58276AB7" w14:textId="77777777" w:rsidR="0064533C" w:rsidRPr="00252BCD" w:rsidRDefault="0064533C" w:rsidP="009E7ADC">
      <w:pPr>
        <w:rPr>
          <w:sz w:val="18"/>
          <w:szCs w:val="18"/>
        </w:rPr>
      </w:pPr>
    </w:p>
  </w:footnote>
  <w:footnote w:type="continuationNotice" w:id="1">
    <w:p w14:paraId="58276AB8" w14:textId="77777777" w:rsidR="0064533C" w:rsidRPr="00252BCD" w:rsidRDefault="0064533C"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6ABB" w14:textId="77777777" w:rsidR="00527FF5" w:rsidRDefault="00527FF5">
    <w:pPr>
      <w:jc w:val="center"/>
    </w:pPr>
    <w:r>
      <w:pgNum/>
    </w:r>
  </w:p>
  <w:p w14:paraId="58276ABC"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6ABD" w14:textId="77777777" w:rsidR="00527FF5" w:rsidRDefault="00527FF5" w:rsidP="00F639BA">
    <w:pPr>
      <w:jc w:val="center"/>
    </w:pPr>
    <w:r>
      <w:pgNum/>
    </w:r>
  </w:p>
  <w:p w14:paraId="58276ABE"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2694"/>
      <w:gridCol w:w="6945"/>
    </w:tblGrid>
    <w:tr w:rsidR="00F87364" w:rsidRPr="00E83DDF" w14:paraId="58276AC2" w14:textId="77777777">
      <w:trPr>
        <w:trHeight w:val="1418"/>
      </w:trPr>
      <w:tc>
        <w:tcPr>
          <w:tcW w:w="2694" w:type="dxa"/>
        </w:tcPr>
        <w:p w14:paraId="58276ABF" w14:textId="77777777" w:rsidR="00F87364" w:rsidRDefault="00F87364" w:rsidP="00702453">
          <w:pPr>
            <w:pStyle w:val="Header"/>
            <w:spacing w:after="1720"/>
            <w:rPr>
              <w:rFonts w:ascii="45 Helvetica Light" w:hAnsi="45 Helvetica Light"/>
              <w:sz w:val="18"/>
            </w:rPr>
          </w:pPr>
        </w:p>
      </w:tc>
      <w:tc>
        <w:tcPr>
          <w:tcW w:w="6945" w:type="dxa"/>
        </w:tcPr>
        <w:p w14:paraId="58276AC0" w14:textId="77777777" w:rsidR="00F87364" w:rsidRPr="00E83DDF" w:rsidRDefault="00282FAD" w:rsidP="009F7095">
          <w:pPr>
            <w:autoSpaceDE w:val="0"/>
            <w:autoSpaceDN w:val="0"/>
            <w:adjustRightInd w:val="0"/>
            <w:ind w:right="8"/>
            <w:jc w:val="right"/>
            <w:rPr>
              <w:rFonts w:cs="Arial"/>
              <w:lang w:val="fr-CH"/>
            </w:rPr>
          </w:pPr>
          <w:r w:rsidRPr="00E83DDF">
            <w:rPr>
              <w:rFonts w:cs="Arial"/>
              <w:lang w:val="fr-CH"/>
            </w:rPr>
            <w:t xml:space="preserve">CEP </w:t>
          </w:r>
          <w:r w:rsidR="009F7095" w:rsidRPr="00E83DDF">
            <w:rPr>
              <w:rFonts w:cs="Arial"/>
              <w:lang w:val="fr-CH"/>
            </w:rPr>
            <w:t>2016.1</w:t>
          </w:r>
          <w:r w:rsidRPr="00E83DDF">
            <w:rPr>
              <w:rFonts w:cs="Arial"/>
              <w:lang w:val="fr-CH"/>
            </w:rPr>
            <w:t xml:space="preserve">–Doc </w:t>
          </w:r>
          <w:r w:rsidR="009F7095" w:rsidRPr="00E83DDF">
            <w:rPr>
              <w:rFonts w:cs="Arial"/>
              <w:lang w:val="fr-CH"/>
            </w:rPr>
            <w:t>10m</w:t>
          </w:r>
          <w:r w:rsidR="00FB6F79" w:rsidRPr="00E83DDF">
            <w:rPr>
              <w:rFonts w:cs="Arial"/>
              <w:lang w:val="fr-CH"/>
            </w:rPr>
            <w:t xml:space="preserve">.Annexe </w:t>
          </w:r>
          <w:r w:rsidR="009F7095" w:rsidRPr="00E83DDF">
            <w:rPr>
              <w:rFonts w:cs="Arial"/>
              <w:lang w:val="fr-CH"/>
            </w:rPr>
            <w:t>1</w:t>
          </w:r>
          <w:r w:rsidR="00702453" w:rsidRPr="00E83DDF">
            <w:rPr>
              <w:rFonts w:cs="Arial"/>
              <w:lang w:val="fr-CH"/>
            </w:rPr>
            <w:t xml:space="preserve">.Pièce </w:t>
          </w:r>
          <w:r w:rsidR="009F7095" w:rsidRPr="00E83DDF">
            <w:rPr>
              <w:rFonts w:cs="Arial"/>
              <w:lang w:val="fr-CH"/>
            </w:rPr>
            <w:t>3</w:t>
          </w:r>
          <w:r w:rsidR="00376861" w:rsidRPr="00E83DDF">
            <w:rPr>
              <w:rFonts w:cs="Arial"/>
              <w:lang w:val="fr-CH"/>
            </w:rPr>
            <w:t xml:space="preserve"> </w:t>
          </w:r>
          <w:r w:rsidR="001813EE" w:rsidRPr="00E83DDF">
            <w:rPr>
              <w:rFonts w:cs="Arial"/>
              <w:lang w:val="fr-CH"/>
            </w:rPr>
            <w:br/>
          </w:r>
        </w:p>
        <w:p w14:paraId="58276AC1" w14:textId="77777777" w:rsidR="00282FAD" w:rsidRPr="00E83DDF" w:rsidRDefault="00282FAD" w:rsidP="001567C5">
          <w:pPr>
            <w:autoSpaceDE w:val="0"/>
            <w:autoSpaceDN w:val="0"/>
            <w:adjustRightInd w:val="0"/>
            <w:jc w:val="right"/>
            <w:rPr>
              <w:lang w:val="fr-CH"/>
            </w:rPr>
          </w:pPr>
        </w:p>
      </w:tc>
    </w:tr>
  </w:tbl>
  <w:p w14:paraId="58276AC3" w14:textId="77777777" w:rsidR="003104EA" w:rsidRPr="00E83DDF" w:rsidRDefault="003104EA" w:rsidP="00376861">
    <w:pPr>
      <w:spacing w:line="20" w:lineRule="exact"/>
      <w:rPr>
        <w:sz w:val="2"/>
        <w:szCs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AA0C1B38"/>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59243B4E"/>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27AC30C3"/>
    <w:multiLevelType w:val="hybridMultilevel"/>
    <w:tmpl w:val="DC30B9D6"/>
    <w:lvl w:ilvl="0" w:tplc="7B68D7B8">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B033D75"/>
    <w:multiLevelType w:val="hybridMultilevel"/>
    <w:tmpl w:val="EAB4C0CC"/>
    <w:lvl w:ilvl="0" w:tplc="0C92A8B4">
      <w:numFmt w:val="bullet"/>
      <w:lvlText w:val="–"/>
      <w:lvlJc w:val="left"/>
      <w:pPr>
        <w:tabs>
          <w:tab w:val="num" w:pos="1701"/>
        </w:tabs>
        <w:ind w:left="1701" w:hanging="567"/>
      </w:pPr>
      <w:rPr>
        <w:rFonts w:ascii="Arial" w:hAnsi="Aria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3" w15:restartNumberingAfterBreak="0">
    <w:nsid w:val="6ADB125E"/>
    <w:multiLevelType w:val="singleLevel"/>
    <w:tmpl w:val="B1FE0166"/>
    <w:lvl w:ilvl="0">
      <w:numFmt w:val="bullet"/>
      <w:pStyle w:val="2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8"/>
  </w:num>
  <w:num w:numId="2">
    <w:abstractNumId w:val="7"/>
  </w:num>
  <w:num w:numId="3">
    <w:abstractNumId w:val="5"/>
  </w:num>
  <w:num w:numId="4">
    <w:abstractNumId w:val="4"/>
  </w:num>
  <w:num w:numId="5">
    <w:abstractNumId w:val="9"/>
  </w:num>
  <w:num w:numId="6">
    <w:abstractNumId w:val="15"/>
  </w:num>
  <w:num w:numId="7">
    <w:abstractNumId w:val="16"/>
  </w:num>
  <w:num w:numId="8">
    <w:abstractNumId w:val="3"/>
  </w:num>
  <w:num w:numId="9">
    <w:abstractNumId w:val="1"/>
  </w:num>
  <w:num w:numId="10">
    <w:abstractNumId w:val="12"/>
  </w:num>
  <w:num w:numId="11">
    <w:abstractNumId w:val="10"/>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6"/>
  </w:num>
  <w:num w:numId="20">
    <w:abstractNumId w:val="11"/>
  </w:num>
  <w:num w:numId="21">
    <w:abstractNumId w:val="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3C"/>
    <w:rsid w:val="000021DD"/>
    <w:rsid w:val="00004D2B"/>
    <w:rsid w:val="00007019"/>
    <w:rsid w:val="0002298F"/>
    <w:rsid w:val="00023669"/>
    <w:rsid w:val="00026EC5"/>
    <w:rsid w:val="000465C9"/>
    <w:rsid w:val="000569F6"/>
    <w:rsid w:val="00096767"/>
    <w:rsid w:val="000B24C3"/>
    <w:rsid w:val="000D1BB1"/>
    <w:rsid w:val="000E0AB2"/>
    <w:rsid w:val="001006F4"/>
    <w:rsid w:val="00104F21"/>
    <w:rsid w:val="0011269C"/>
    <w:rsid w:val="00115627"/>
    <w:rsid w:val="00121A6F"/>
    <w:rsid w:val="001567C5"/>
    <w:rsid w:val="00161F92"/>
    <w:rsid w:val="0017006D"/>
    <w:rsid w:val="00172757"/>
    <w:rsid w:val="001813EE"/>
    <w:rsid w:val="001A4314"/>
    <w:rsid w:val="0023277C"/>
    <w:rsid w:val="00232DCA"/>
    <w:rsid w:val="00252BCD"/>
    <w:rsid w:val="00261EAE"/>
    <w:rsid w:val="0026706D"/>
    <w:rsid w:val="00272937"/>
    <w:rsid w:val="00273DE6"/>
    <w:rsid w:val="00282124"/>
    <w:rsid w:val="00282FAD"/>
    <w:rsid w:val="0029168C"/>
    <w:rsid w:val="002A3142"/>
    <w:rsid w:val="002A663B"/>
    <w:rsid w:val="002B1B7A"/>
    <w:rsid w:val="002B2A67"/>
    <w:rsid w:val="002B66E8"/>
    <w:rsid w:val="002C3576"/>
    <w:rsid w:val="002F6964"/>
    <w:rsid w:val="002F7773"/>
    <w:rsid w:val="003002DC"/>
    <w:rsid w:val="00306966"/>
    <w:rsid w:val="003104EA"/>
    <w:rsid w:val="003118BD"/>
    <w:rsid w:val="00325076"/>
    <w:rsid w:val="00325132"/>
    <w:rsid w:val="00331C6E"/>
    <w:rsid w:val="003344B9"/>
    <w:rsid w:val="003405FB"/>
    <w:rsid w:val="003407BC"/>
    <w:rsid w:val="00342CD6"/>
    <w:rsid w:val="00343FF6"/>
    <w:rsid w:val="0035401F"/>
    <w:rsid w:val="00355163"/>
    <w:rsid w:val="00361DE6"/>
    <w:rsid w:val="00372B67"/>
    <w:rsid w:val="0037420A"/>
    <w:rsid w:val="003750AE"/>
    <w:rsid w:val="00376861"/>
    <w:rsid w:val="003B1F46"/>
    <w:rsid w:val="003D2A69"/>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63E4"/>
    <w:rsid w:val="0051701F"/>
    <w:rsid w:val="00527FF5"/>
    <w:rsid w:val="005345AF"/>
    <w:rsid w:val="00536401"/>
    <w:rsid w:val="00565476"/>
    <w:rsid w:val="00570EDB"/>
    <w:rsid w:val="005749CB"/>
    <w:rsid w:val="00577828"/>
    <w:rsid w:val="00590BBB"/>
    <w:rsid w:val="005A1FD5"/>
    <w:rsid w:val="005B20C7"/>
    <w:rsid w:val="005C2838"/>
    <w:rsid w:val="005D36DD"/>
    <w:rsid w:val="005D36F8"/>
    <w:rsid w:val="005D42D7"/>
    <w:rsid w:val="005D7F27"/>
    <w:rsid w:val="005E5DC2"/>
    <w:rsid w:val="005F0892"/>
    <w:rsid w:val="005F4A1C"/>
    <w:rsid w:val="00637585"/>
    <w:rsid w:val="00643F80"/>
    <w:rsid w:val="0064533C"/>
    <w:rsid w:val="00653717"/>
    <w:rsid w:val="00653FFD"/>
    <w:rsid w:val="00654B91"/>
    <w:rsid w:val="00656A8B"/>
    <w:rsid w:val="006724B1"/>
    <w:rsid w:val="006A79AB"/>
    <w:rsid w:val="006B1882"/>
    <w:rsid w:val="006B1CB9"/>
    <w:rsid w:val="006C019C"/>
    <w:rsid w:val="006C47EF"/>
    <w:rsid w:val="006D5D8D"/>
    <w:rsid w:val="006E36B1"/>
    <w:rsid w:val="006E71AC"/>
    <w:rsid w:val="00702453"/>
    <w:rsid w:val="00717D08"/>
    <w:rsid w:val="00721AEA"/>
    <w:rsid w:val="00756C4A"/>
    <w:rsid w:val="00757BB9"/>
    <w:rsid w:val="00761DEC"/>
    <w:rsid w:val="0076291C"/>
    <w:rsid w:val="00765B70"/>
    <w:rsid w:val="0077420D"/>
    <w:rsid w:val="00780CBD"/>
    <w:rsid w:val="00783C7C"/>
    <w:rsid w:val="007A2839"/>
    <w:rsid w:val="007A763D"/>
    <w:rsid w:val="007B6036"/>
    <w:rsid w:val="007C679A"/>
    <w:rsid w:val="007D0200"/>
    <w:rsid w:val="007D07CD"/>
    <w:rsid w:val="007D2933"/>
    <w:rsid w:val="007D6956"/>
    <w:rsid w:val="007E0A42"/>
    <w:rsid w:val="007E6319"/>
    <w:rsid w:val="007F6E68"/>
    <w:rsid w:val="00843281"/>
    <w:rsid w:val="00857B50"/>
    <w:rsid w:val="00861B3B"/>
    <w:rsid w:val="0087570D"/>
    <w:rsid w:val="00887AC2"/>
    <w:rsid w:val="00894CD8"/>
    <w:rsid w:val="00897E26"/>
    <w:rsid w:val="008A5A68"/>
    <w:rsid w:val="008B06BB"/>
    <w:rsid w:val="008B7E25"/>
    <w:rsid w:val="008D3810"/>
    <w:rsid w:val="008E54AA"/>
    <w:rsid w:val="008E7619"/>
    <w:rsid w:val="008F12A9"/>
    <w:rsid w:val="008F1500"/>
    <w:rsid w:val="008F317F"/>
    <w:rsid w:val="0091074C"/>
    <w:rsid w:val="00932DC4"/>
    <w:rsid w:val="009434D3"/>
    <w:rsid w:val="009569DE"/>
    <w:rsid w:val="009573EF"/>
    <w:rsid w:val="00957FCD"/>
    <w:rsid w:val="00974119"/>
    <w:rsid w:val="009A0F8B"/>
    <w:rsid w:val="009B449A"/>
    <w:rsid w:val="009C5BD0"/>
    <w:rsid w:val="009D77AD"/>
    <w:rsid w:val="009E7ADC"/>
    <w:rsid w:val="009F110E"/>
    <w:rsid w:val="009F36E2"/>
    <w:rsid w:val="009F7095"/>
    <w:rsid w:val="00A06C89"/>
    <w:rsid w:val="00A418A0"/>
    <w:rsid w:val="00A455D1"/>
    <w:rsid w:val="00A53E1E"/>
    <w:rsid w:val="00A5792F"/>
    <w:rsid w:val="00A6703E"/>
    <w:rsid w:val="00A73891"/>
    <w:rsid w:val="00A809D7"/>
    <w:rsid w:val="00A92377"/>
    <w:rsid w:val="00AA01D2"/>
    <w:rsid w:val="00AA61ED"/>
    <w:rsid w:val="00AB7653"/>
    <w:rsid w:val="00AC2359"/>
    <w:rsid w:val="00AD51A7"/>
    <w:rsid w:val="00AE0D85"/>
    <w:rsid w:val="00AE2BF2"/>
    <w:rsid w:val="00B00E3F"/>
    <w:rsid w:val="00B010D9"/>
    <w:rsid w:val="00B11447"/>
    <w:rsid w:val="00B1711E"/>
    <w:rsid w:val="00B262DA"/>
    <w:rsid w:val="00B30CB2"/>
    <w:rsid w:val="00B40E14"/>
    <w:rsid w:val="00B458DD"/>
    <w:rsid w:val="00B618E6"/>
    <w:rsid w:val="00B7190D"/>
    <w:rsid w:val="00B838AD"/>
    <w:rsid w:val="00B86608"/>
    <w:rsid w:val="00B97B66"/>
    <w:rsid w:val="00BA404F"/>
    <w:rsid w:val="00BB3ACD"/>
    <w:rsid w:val="00BC0807"/>
    <w:rsid w:val="00BC1442"/>
    <w:rsid w:val="00BC4919"/>
    <w:rsid w:val="00BF2822"/>
    <w:rsid w:val="00BF2F28"/>
    <w:rsid w:val="00BF5B9E"/>
    <w:rsid w:val="00C0653D"/>
    <w:rsid w:val="00C06D24"/>
    <w:rsid w:val="00C1701F"/>
    <w:rsid w:val="00C17350"/>
    <w:rsid w:val="00C21452"/>
    <w:rsid w:val="00C2769E"/>
    <w:rsid w:val="00C35110"/>
    <w:rsid w:val="00C36306"/>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4585D"/>
    <w:rsid w:val="00D50254"/>
    <w:rsid w:val="00D61B31"/>
    <w:rsid w:val="00D64064"/>
    <w:rsid w:val="00D73262"/>
    <w:rsid w:val="00D73A0A"/>
    <w:rsid w:val="00D95DB0"/>
    <w:rsid w:val="00DA49AB"/>
    <w:rsid w:val="00DA5E5B"/>
    <w:rsid w:val="00DA646A"/>
    <w:rsid w:val="00DB7EC0"/>
    <w:rsid w:val="00DC4D86"/>
    <w:rsid w:val="00E048A5"/>
    <w:rsid w:val="00E10CD5"/>
    <w:rsid w:val="00E17063"/>
    <w:rsid w:val="00E23D6B"/>
    <w:rsid w:val="00E270C8"/>
    <w:rsid w:val="00E31D00"/>
    <w:rsid w:val="00E3448B"/>
    <w:rsid w:val="00E72B05"/>
    <w:rsid w:val="00E76C5C"/>
    <w:rsid w:val="00E83DDF"/>
    <w:rsid w:val="00E91656"/>
    <w:rsid w:val="00ED1676"/>
    <w:rsid w:val="00ED183A"/>
    <w:rsid w:val="00ED63F7"/>
    <w:rsid w:val="00ED6707"/>
    <w:rsid w:val="00ED7E1E"/>
    <w:rsid w:val="00EE2A54"/>
    <w:rsid w:val="00F11A72"/>
    <w:rsid w:val="00F15EB7"/>
    <w:rsid w:val="00F33A54"/>
    <w:rsid w:val="00F44D4B"/>
    <w:rsid w:val="00F521BF"/>
    <w:rsid w:val="00F579BE"/>
    <w:rsid w:val="00F6214A"/>
    <w:rsid w:val="00F62978"/>
    <w:rsid w:val="00F639BA"/>
    <w:rsid w:val="00F87364"/>
    <w:rsid w:val="00F87A5B"/>
    <w:rsid w:val="00F963C3"/>
    <w:rsid w:val="00FA2EFC"/>
    <w:rsid w:val="00FB6F79"/>
    <w:rsid w:val="00FC5E68"/>
    <w:rsid w:val="00FD4FD5"/>
    <w:rsid w:val="00FE6153"/>
    <w:rsid w:val="00FF21FF"/>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58276A97"/>
  <w15:docId w15:val="{8AAA0A5A-97E8-48F6-B34D-2B366CFE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5B"/>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DA5E5B"/>
    <w:pPr>
      <w:jc w:val="both"/>
    </w:pPr>
  </w:style>
  <w:style w:type="paragraph" w:customStyle="1" w:styleId="1Premierretrait">
    <w:name w:val="1 Premier retrait"/>
    <w:basedOn w:val="0Textedebase"/>
    <w:rsid w:val="00DA5E5B"/>
    <w:pPr>
      <w:numPr>
        <w:numId w:val="21"/>
      </w:numPr>
      <w:spacing w:before="120"/>
    </w:pPr>
  </w:style>
  <w:style w:type="paragraph" w:customStyle="1" w:styleId="2Deuximeretrait">
    <w:name w:val="2 Deuxième retrait"/>
    <w:basedOn w:val="0Textedebase"/>
    <w:rsid w:val="00DA5E5B"/>
    <w:pPr>
      <w:numPr>
        <w:numId w:val="22"/>
      </w:numPr>
      <w:spacing w:before="120"/>
    </w:pPr>
  </w:style>
  <w:style w:type="paragraph" w:customStyle="1" w:styleId="3Troisimeretrait">
    <w:name w:val="3 Troisième retrait"/>
    <w:basedOn w:val="0Textedebase"/>
    <w:rsid w:val="00DA5E5B"/>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721AEA"/>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E23D6B"/>
    <w:pPr>
      <w:autoSpaceDE w:val="0"/>
      <w:autoSpaceDN w:val="0"/>
      <w:adjustRightInd w:val="0"/>
      <w:jc w:val="both"/>
    </w:pPr>
    <w:rPr>
      <w:rFonts w:cs="Arial"/>
    </w:rPr>
  </w:style>
  <w:style w:type="paragraph" w:customStyle="1" w:styleId="2aDeuxiemeretraittable">
    <w:name w:val="2a Deuxieme retrait table"/>
    <w:basedOn w:val="2Deuximeretrait"/>
    <w:qFormat/>
    <w:rsid w:val="00721AEA"/>
    <w:pPr>
      <w:tabs>
        <w:tab w:val="clear" w:pos="1134"/>
        <w:tab w:val="left" w:pos="567"/>
      </w:tabs>
      <w:spacing w:before="60" w:after="60"/>
      <w:ind w:left="568" w:hanging="284"/>
    </w:pPr>
  </w:style>
  <w:style w:type="paragraph" w:customStyle="1" w:styleId="3aTroisiemeretraittable">
    <w:name w:val="3a Troisieme retrait table"/>
    <w:basedOn w:val="3Troisimeretrait"/>
    <w:qFormat/>
    <w:rsid w:val="00721AEA"/>
    <w:pPr>
      <w:tabs>
        <w:tab w:val="clear" w:pos="1701"/>
        <w:tab w:val="left" w:pos="851"/>
      </w:tabs>
      <w:spacing w:before="60" w:after="6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20attach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PU_DOC_TITLE xmlns="http://schemas.microsoft.com/sharepoint/v3">Matters related to Committee 1 (Supply Chain Integration) – Roadmap for electronic advance data. Memorandum by the International Bureau</UPU_DOC_TITLE>
    <UPU_DOC_LANGUAGES xmlns="http://schemas.microsoft.com/sharepoint/v3">
      <Value>EN</Value>
      <Value>AR</Value>
      <Value>FR</Value>
      <Value>RU</Value>
    </UPU_DOC_LANGUAGES>
    <UPU_DOC_LANGUAGE xmlns="http://schemas.microsoft.com/sharepoint/v3">English</UPU_DOC_LANGUAGE>
    <UPU_DOC_BODY_CODE xmlns="http://schemas.microsoft.com/sharepoint/v3">CEP</UPU_DOC_BODY_CODE>
    <UPU_DOC_SORTKEY xmlns="http://schemas.microsoft.com/sharepoint/v3">1030000</UPU_DOC_SORTKEY>
    <_dlc_DocId xmlns="e8f1b955-3f4f-44e7-a2e7-01c9d403cac8">76VD7RQPPQTZ-655704384-4315954</_dlc_DocId>
    <_dlc_DocIdUrl xmlns="e8f1b955-3f4f-44e7-a2e7-01c9d403cac8">
      <Url>https://documents-center.upu.int/_layouts/DocIdRedir.aspx?ID=76VD7RQPPQTZ-655704384-4315954</Url>
      <Description>76VD7RQPPQTZ-655704384-4315954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42D8-BDD7-4B54-A3FE-DF8076EB5E89}">
  <ds:schemaRefs>
    <ds:schemaRef ds:uri="http://schemas.microsoft.com/sharepoint/v3/contenttype/forms"/>
  </ds:schemaRefs>
</ds:datastoreItem>
</file>

<file path=customXml/itemProps2.xml><?xml version="1.0" encoding="utf-8"?>
<ds:datastoreItem xmlns:ds="http://schemas.openxmlformats.org/officeDocument/2006/customXml" ds:itemID="{1ACE26DC-C7A3-4CAB-B233-BC9CA4B6B4E0}">
  <ds:schemaRefs>
    <ds:schemaRef ds:uri="http://schemas.microsoft.com/sharepoint/events"/>
  </ds:schemaRefs>
</ds:datastoreItem>
</file>

<file path=customXml/itemProps3.xml><?xml version="1.0" encoding="utf-8"?>
<ds:datastoreItem xmlns:ds="http://schemas.openxmlformats.org/officeDocument/2006/customXml" ds:itemID="{D3604027-5F8B-4FFE-AC44-2B348FF55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8380A-1A32-40FF-9DE3-D13B73F0208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e8f1b955-3f4f-44e7-a2e7-01c9d403cac8"/>
    <ds:schemaRef ds:uri="http://www.w3.org/XML/1998/namespace"/>
    <ds:schemaRef ds:uri="http://purl.org/dc/dcmitype/"/>
  </ds:schemaRefs>
</ds:datastoreItem>
</file>

<file path=customXml/itemProps5.xml><?xml version="1.0" encoding="utf-8"?>
<ds:datastoreItem xmlns:ds="http://schemas.openxmlformats.org/officeDocument/2006/customXml" ds:itemID="{93EBF920-3B4E-4080-9636-34144F77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 attachment.dotx</Template>
  <TotalTime>2</TotalTime>
  <Pages>2</Pages>
  <Words>857</Words>
  <Characters>4889</Characters>
  <Application>Microsoft Office Word</Application>
  <DocSecurity>4</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10m An 1 P 3</dc:title>
  <dc:creator>MATHUR anjali</dc:creator>
  <cp:lastModifiedBy>MAYER lorena</cp:lastModifiedBy>
  <cp:revision>2</cp:revision>
  <cp:lastPrinted>2009-02-19T13:40:00Z</cp:lastPrinted>
  <dcterms:created xsi:type="dcterms:W3CDTF">2022-02-21T08:11:00Z</dcterms:created>
  <dcterms:modified xsi:type="dcterms:W3CDTF">2022-02-21T08:11:00Z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0x01010057AE7A3E97234C7A822E8A0EBF27B31B007E7A30509A4742AE873F33E754338C7B0054170596D00AC9448D17E4BCA939CC70</vt:lpwstr>
  </property>
  <property fmtid="{D5CDD505-2E9C-101B-9397-08002B2CF9AE}" pid="3" name="_dlc_DocIdItemGuid">
    <vt:lpwstr>4f3beab0-b5e2-4a44-a88a-7af17a453e5e</vt:lpwstr>
  </property>
</Properties>
</file>